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211" w:type="dxa"/>
        <w:jc w:val="start"/>
        <w:tblInd w:w="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0" w:noVBand="0" w:lastRow="0" w:firstColumn="0" w:lastColumn="0" w:noHBand="0" w:val="0000"/>
      </w:tblPr>
      <w:tblGrid>
        <w:gridCol w:w="9211"/>
      </w:tblGrid>
      <w:tr>
        <w:trPr>
          <w:trHeight w:val="675" w:hRule="atLeast"/>
        </w:trPr>
        <w:tc>
          <w:tcPr>
            <w:tcW w:w="9211" w:type="dxa"/>
            <w:tcBorders/>
          </w:tcPr>
          <w:p>
            <w:pPr>
              <w:pStyle w:val="Normal"/>
              <w:snapToGrid w:val="false"/>
              <w:spacing w:lineRule="auto" w:line="360" w:before="0" w:after="160"/>
              <w:jc w:val="center"/>
              <w:rPr>
                <w:b/>
                <w:sz w:val="28"/>
                <w:szCs w:val="28"/>
                <w:lang w:val="pt-BR"/>
              </w:rPr>
            </w:pPr>
            <w:r>
              <w:rPr/>
            </w:r>
          </w:p>
        </w:tc>
      </w:tr>
    </w:tbl>
    <w:p>
      <w:pPr>
        <w:pStyle w:val="Normal"/>
        <w:spacing w:lineRule="auto" w:line="360" w:before="80" w:after="80"/>
        <w:jc w:val="center"/>
        <w:rPr>
          <w:rFonts w:cs="Calibri" w:cstheme="minorHAnsi"/>
          <w:bCs/>
          <w:sz w:val="28"/>
          <w:szCs w:val="28"/>
          <w:lang w:val="pt-BR"/>
        </w:rPr>
      </w:pPr>
      <w:r>
        <w:rPr>
          <w:rFonts w:eastAsia="Times New Roman" w:cs="Calibri" w:cstheme="minorHAnsi"/>
          <w:bCs/>
          <w:sz w:val="28"/>
          <w:szCs w:val="28"/>
          <w:lang w:val="pt-BR" w:eastAsia="zh-CN"/>
        </w:rPr>
        <w:t>SOCIOLOGIA DO ESPORTE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jc w:val="both"/>
        <w:outlineLvl w:val="1"/>
        <w:rPr>
          <w:rFonts w:eastAsia="Times New Roman" w:cs="Calibri" w:cstheme="minorHAnsi"/>
          <w:b/>
          <w:bCs/>
          <w:sz w:val="24"/>
          <w:szCs w:val="24"/>
          <w:lang w:val="pt-BR" w:eastAsia="es-EC"/>
        </w:rPr>
      </w:pPr>
      <w:r>
        <w:rPr>
          <w:rFonts w:eastAsia="Times New Roman" w:cs="Calibri" w:cstheme="minorHAnsi"/>
          <w:b/>
          <w:bCs/>
          <w:sz w:val="24"/>
          <w:szCs w:val="24"/>
          <w:lang w:val="pt-BR" w:eastAsia="es-EC"/>
        </w:rPr>
        <w:t xml:space="preserve">EMENTA 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jc w:val="both"/>
        <w:outlineLvl w:val="1"/>
        <w:rPr>
          <w:rFonts w:eastAsia="Times New Roman" w:cs="Calibri" w:cstheme="minorHAnsi"/>
          <w:sz w:val="24"/>
          <w:szCs w:val="24"/>
          <w:lang w:val="pt-BR" w:eastAsia="es-EC"/>
        </w:rPr>
      </w:pPr>
      <w:r>
        <w:rPr>
          <w:rFonts w:eastAsia="Times New Roman" w:cs="Calibri" w:cstheme="minorHAnsi"/>
          <w:sz w:val="24"/>
          <w:szCs w:val="24"/>
          <w:lang w:val="pt-BR" w:eastAsia="es-EC"/>
        </w:rPr>
        <w:t>O objetivo deste curso é imergir os alunos no estudo sociológico do esporte contemporâneo, transcendendo a simples observação da atividade física para decodificá-la como um Fato Social Total e um laboratório de inovação de alta complexidade institucional. Por meio de uma narrativa crítica e reflexiva, o curso desafia as visões positivistas tradicionais, propondo uma imersão profunda na realidade esportiva do Estado do Rio de Janeiro sob o prisma transdisciplinar da Hélice Quíntupla, analisando como Governo, Universidade, Indústria, Sociedade Civil e Meio Ambiente interagem organicamente. Com essa base, o curso aprofunda-se nas dimensões imateriais das organizações para revelar como a cultura gerencial cotidiana pode atuar como um fator de entropia que perpetua dinâmicas de poder hegemônicas, assimetrias de classe, exclusão e racismo estrutural.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jc w:val="both"/>
        <w:outlineLvl w:val="1"/>
        <w:rPr>
          <w:rFonts w:eastAsia="Times New Roman" w:cs="Calibri" w:cstheme="minorHAnsi"/>
          <w:sz w:val="24"/>
          <w:szCs w:val="24"/>
          <w:lang w:val="pt-BR" w:eastAsia="es-EC"/>
        </w:rPr>
      </w:pPr>
      <w:r>
        <w:rPr>
          <w:rFonts w:eastAsia="Times New Roman" w:cs="Calibri" w:cstheme="minorHAnsi"/>
          <w:sz w:val="24"/>
          <w:szCs w:val="24"/>
          <w:lang w:val="pt-BR" w:eastAsia="es-EC"/>
        </w:rPr>
        <w:t>A partir desse diagnóstico, o mito do legado pós-olímpico massivo é questionado por meio da categoria sociológica de ruptura metabólica, levando os alunos a confrontar a deterioração da infraestrutura costeira e náutica do Rio de Janeiro com as demandas éticas da ecologia social. Longe de se limitar à denúncia, esta jornada intelectual projeta-se audaciosamente em direção ao paradigma da Indústria 5.0, onde tecnologia e desempenho são subordinados à resiliência social e à centralidade humana. Inspirado no conceito de Gesinnung — a disposição moral de Immanuel Kant de dever pelo dever — o curso equipa os alunos com as ferramentas microssociológicas da etnometodologia para avaliar a transparência e a justiça em nível local. Esta disciplina busca não apenas transmitir conhecimento, mas inspirar uma metamorfose nos futuros líderes esportivos, moldando suas habilidades por meio do conceito original e inovador como Sintonização Analítica Gerencial – Brasil (SAG-B) para transformar a gestão esportiva em uma práxis ético-simbólica capaz de gerar um desenvolvimento regional negentrópico, integrativo e verdadeiramente sustentável.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jc w:val="both"/>
        <w:outlineLvl w:val="1"/>
        <w:rPr>
          <w:rFonts w:eastAsia="Times New Roman" w:cs="Calibri" w:cstheme="minorHAnsi"/>
          <w:b/>
          <w:bCs/>
          <w:sz w:val="24"/>
          <w:szCs w:val="24"/>
          <w:lang w:val="pt-BR" w:eastAsia="es-EC"/>
        </w:rPr>
      </w:pPr>
      <w:r>
        <w:rPr>
          <w:rFonts w:eastAsia="Times New Roman" w:cs="Calibri" w:cstheme="minorHAnsi"/>
          <w:b/>
          <w:bCs/>
          <w:sz w:val="24"/>
          <w:szCs w:val="24"/>
          <w:lang w:val="pt-BR" w:eastAsia="es-EC"/>
        </w:rPr>
        <w:t>JUSTIFICATIVA DO CURSO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jc w:val="both"/>
        <w:outlineLvl w:val="1"/>
        <w:rPr>
          <w:rFonts w:eastAsia="Times New Roman" w:cs="Calibri" w:cstheme="minorHAnsi"/>
          <w:sz w:val="24"/>
          <w:szCs w:val="24"/>
          <w:lang w:val="pt-BR" w:eastAsia="es-EC"/>
        </w:rPr>
      </w:pPr>
      <w:r>
        <w:rPr>
          <w:rFonts w:eastAsia="Times New Roman" w:cs="Calibri" w:cstheme="minorHAnsi"/>
          <w:sz w:val="24"/>
          <w:szCs w:val="24"/>
          <w:lang w:val="pt-BR" w:eastAsia="es-EC"/>
        </w:rPr>
        <w:t>O fenômeno do esporte de elite no contexto da região do estado do Rio de Janeiro exige que ultrapassemos análises reducionistas e abordagens lineares, racional-positivistas, que isolam a gestão dos fatores sociais e ambientais. Apesar dos marcos regulatórios existentes — como a Lei Geral do Esporte (Lei nº 14.597/2023) — a realidade empírica revela uma acentuada entropia sistêmica nas organizações e polos esportivos tradicionais. É essencial capacitar os alunos a decodificar as dimensões imateriais, discursivas e morais que sustentam as estruturas de poder. Este curso oferece aos alunos um rigoroso arcabouço micro e macrossociológico para transformar a prática institucional do esporte em um motor de desenvolvimento regional sustentável e humanizado.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jc w:val="both"/>
        <w:outlineLvl w:val="1"/>
        <w:rPr>
          <w:rFonts w:eastAsia="Times New Roman" w:cs="Calibri" w:cstheme="minorHAnsi"/>
          <w:b/>
          <w:bCs/>
          <w:sz w:val="24"/>
          <w:szCs w:val="24"/>
          <w:lang w:val="pt-BR" w:eastAsia="es-EC"/>
        </w:rPr>
      </w:pPr>
      <w:r>
        <w:rPr>
          <w:rFonts w:eastAsia="Times New Roman" w:cs="Calibri" w:cstheme="minorHAnsi"/>
          <w:b/>
          <w:bCs/>
          <w:sz w:val="24"/>
          <w:szCs w:val="24"/>
          <w:lang w:val="pt-BR" w:eastAsia="es-EC"/>
        </w:rPr>
        <w:t>OBJETIVOS DE APRENDIZAGEM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jc w:val="both"/>
        <w:outlineLvl w:val="1"/>
        <w:rPr>
          <w:rFonts w:eastAsia="Times New Roman" w:cs="Calibri" w:cstheme="minorHAnsi"/>
          <w:b/>
          <w:bCs/>
          <w:sz w:val="24"/>
          <w:szCs w:val="24"/>
          <w:lang w:val="pt-BR" w:eastAsia="es-EC"/>
        </w:rPr>
      </w:pPr>
      <w:r>
        <w:rPr>
          <w:rFonts w:eastAsia="Times New Roman" w:cs="Calibri" w:cstheme="minorHAnsi"/>
          <w:b/>
          <w:bCs/>
          <w:sz w:val="24"/>
          <w:szCs w:val="24"/>
          <w:lang w:val="pt-BR" w:eastAsia="es-EC"/>
        </w:rPr>
        <w:t>Objetivo Geral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jc w:val="both"/>
        <w:outlineLvl w:val="1"/>
        <w:rPr>
          <w:rFonts w:eastAsia="Times New Roman" w:cs="Calibri" w:cstheme="minorHAnsi"/>
          <w:sz w:val="24"/>
          <w:szCs w:val="24"/>
          <w:lang w:val="pt-BR" w:eastAsia="es-EC"/>
        </w:rPr>
      </w:pPr>
      <w:r>
        <w:rPr>
          <w:rFonts w:eastAsia="Times New Roman" w:cs="Calibri" w:cstheme="minorHAnsi"/>
          <w:sz w:val="24"/>
          <w:szCs w:val="24"/>
          <w:lang w:val="pt-BR" w:eastAsia="es-EC"/>
        </w:rPr>
        <w:t>Teorizar a configuração da cultura gerencial, a dinâmica da dominação e os processos de inovação sistêmica no ecossistema do esporte de alto rendimento do Rio de Janeiro, utilizando o modelo da Hélice Quíntupla, permitindo aos alunos desenvolver estratégias de intervenção ética e governança híbrida consistentes com a Indústria 5.0.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jc w:val="both"/>
        <w:outlineLvl w:val="1"/>
        <w:rPr>
          <w:rFonts w:eastAsia="Times New Roman" w:cs="Calibri" w:cstheme="minorHAnsi"/>
          <w:b/>
          <w:bCs/>
          <w:sz w:val="24"/>
          <w:szCs w:val="24"/>
          <w:lang w:val="pt-BR" w:eastAsia="es-EC"/>
        </w:rPr>
      </w:pPr>
      <w:r>
        <w:rPr>
          <w:rFonts w:eastAsia="Times New Roman" w:cs="Calibri" w:cstheme="minorHAnsi"/>
          <w:b/>
          <w:bCs/>
          <w:sz w:val="24"/>
          <w:szCs w:val="24"/>
          <w:lang w:val="pt-BR" w:eastAsia="es-EC"/>
        </w:rPr>
        <w:t>Objetivos Específicos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jc w:val="both"/>
        <w:outlineLvl w:val="1"/>
        <w:rPr>
          <w:rFonts w:eastAsia="Times New Roman" w:cs="Calibri" w:cstheme="minorHAnsi"/>
          <w:sz w:val="24"/>
          <w:szCs w:val="24"/>
          <w:lang w:val="pt-BR" w:eastAsia="es-EC"/>
        </w:rPr>
      </w:pPr>
      <w:r>
        <w:rPr>
          <w:rFonts w:eastAsia="Times New Roman" w:cs="Calibri" w:cstheme="minorHAnsi"/>
          <w:b/>
          <w:bCs/>
          <w:sz w:val="24"/>
          <w:szCs w:val="24"/>
          <w:lang w:val="pt-BR" w:eastAsia="es-EC"/>
        </w:rPr>
        <w:t>1</w:t>
      </w:r>
      <w:r>
        <w:rPr>
          <w:rFonts w:eastAsia="Times New Roman" w:cs="Calibri" w:cstheme="minorHAnsi"/>
          <w:sz w:val="24"/>
          <w:szCs w:val="24"/>
          <w:lang w:val="pt-BR" w:eastAsia="es-EC"/>
        </w:rPr>
        <w:t>. Identificar a evolução conceitual dos sistemas de inovação (Hélice Tripla, Quádrupla e Quíntupla) aplicados às ciências da atividade física.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jc w:val="both"/>
        <w:outlineLvl w:val="1"/>
        <w:rPr>
          <w:rFonts w:eastAsia="Times New Roman" w:cs="Calibri" w:cstheme="minorHAnsi"/>
          <w:sz w:val="24"/>
          <w:szCs w:val="24"/>
          <w:lang w:val="pt-BR" w:eastAsia="es-EC"/>
        </w:rPr>
      </w:pPr>
      <w:r>
        <w:rPr>
          <w:rFonts w:eastAsia="Times New Roman" w:cs="Calibri" w:cstheme="minorHAnsi"/>
          <w:b/>
          <w:bCs/>
          <w:sz w:val="24"/>
          <w:szCs w:val="24"/>
          <w:lang w:val="pt-BR" w:eastAsia="es-EC"/>
        </w:rPr>
        <w:t>2.</w:t>
      </w:r>
      <w:r>
        <w:rPr>
          <w:rFonts w:eastAsia="Times New Roman" w:cs="Calibri" w:cstheme="minorHAnsi"/>
          <w:sz w:val="24"/>
          <w:szCs w:val="24"/>
          <w:lang w:val="pt-BR" w:eastAsia="es-EC"/>
        </w:rPr>
        <w:t xml:space="preserve"> Desconstruir as práticas discursivas e os métodos institucionais cotidianos que perpetuam as assimetrias de poder e a segregação sociorracial nas organizações esportivas.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jc w:val="both"/>
        <w:outlineLvl w:val="1"/>
        <w:rPr>
          <w:rFonts w:eastAsia="Times New Roman" w:cs="Calibri" w:cstheme="minorHAnsi"/>
          <w:sz w:val="24"/>
          <w:szCs w:val="24"/>
          <w:lang w:val="pt-BR" w:eastAsia="es-EC"/>
        </w:rPr>
      </w:pPr>
      <w:r>
        <w:rPr>
          <w:rFonts w:eastAsia="Times New Roman" w:cs="Calibri" w:cstheme="minorHAnsi"/>
          <w:b/>
          <w:bCs/>
          <w:sz w:val="24"/>
          <w:szCs w:val="24"/>
          <w:lang w:val="pt-BR" w:eastAsia="es-EC"/>
        </w:rPr>
        <w:t>3.</w:t>
      </w:r>
      <w:r>
        <w:rPr>
          <w:rFonts w:eastAsia="Times New Roman" w:cs="Calibri" w:cstheme="minorHAnsi"/>
          <w:sz w:val="24"/>
          <w:szCs w:val="24"/>
          <w:lang w:val="pt-BR" w:eastAsia="es-EC"/>
        </w:rPr>
        <w:t xml:space="preserve"> Examinar a fratura metabólica da quinta hélice (ambiente ecológico) gerada por visões utilitaristas e extrativistas no cenário pós-olímpico do Rio de Janeiro.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jc w:val="both"/>
        <w:outlineLvl w:val="1"/>
        <w:rPr>
          <w:rFonts w:eastAsia="Times New Roman" w:cs="Calibri" w:cstheme="minorHAnsi"/>
          <w:sz w:val="24"/>
          <w:szCs w:val="24"/>
          <w:lang w:val="pt-BR" w:eastAsia="es-EC"/>
        </w:rPr>
      </w:pPr>
      <w:r>
        <w:rPr>
          <w:rFonts w:eastAsia="Times New Roman" w:cs="Calibri" w:cstheme="minorHAnsi"/>
          <w:b/>
          <w:bCs/>
          <w:sz w:val="24"/>
          <w:szCs w:val="24"/>
          <w:lang w:val="pt-BR" w:eastAsia="es-EC"/>
        </w:rPr>
        <w:t>4.</w:t>
      </w:r>
      <w:r>
        <w:rPr>
          <w:rFonts w:eastAsia="Times New Roman" w:cs="Calibri" w:cstheme="minorHAnsi"/>
          <w:sz w:val="24"/>
          <w:szCs w:val="24"/>
          <w:lang w:val="pt-BR" w:eastAsia="es-EC"/>
        </w:rPr>
        <w:t xml:space="preserve"> Estruturar propostas transformadoras com uma abordagem centrada no ser humano por meio da aplicação do construto de Sintonização Gerencial Analítica – Brasil (SAG-B).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jc w:val="both"/>
        <w:outlineLvl w:val="1"/>
        <w:rPr>
          <w:rFonts w:eastAsia="Times New Roman" w:cs="Calibri" w:cstheme="minorHAnsi"/>
          <w:b/>
          <w:bCs/>
          <w:sz w:val="24"/>
          <w:szCs w:val="24"/>
          <w:lang w:val="pt-BR" w:eastAsia="es-EC"/>
        </w:rPr>
      </w:pPr>
      <w:r>
        <w:rPr>
          <w:rFonts w:eastAsia="Times New Roman" w:cs="Calibri" w:cstheme="minorHAnsi"/>
          <w:b/>
          <w:bCs/>
          <w:sz w:val="24"/>
          <w:szCs w:val="24"/>
          <w:lang w:val="pt-BR" w:eastAsia="es-EC"/>
        </w:rPr>
        <w:t>METODOLOGIA DE ENSINO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jc w:val="both"/>
        <w:outlineLvl w:val="1"/>
        <w:rPr>
          <w:rFonts w:eastAsia="Times New Roman" w:cs="Calibri" w:cstheme="minorHAnsi"/>
          <w:sz w:val="24"/>
          <w:szCs w:val="24"/>
          <w:lang w:val="pt-BR" w:eastAsia="es-EC"/>
        </w:rPr>
      </w:pPr>
      <w:r>
        <w:rPr>
          <w:rFonts w:eastAsia="Times New Roman" w:cs="Calibri" w:cstheme="minorHAnsi"/>
          <w:sz w:val="24"/>
          <w:szCs w:val="24"/>
          <w:lang w:val="pt-BR" w:eastAsia="es-EC"/>
        </w:rPr>
        <w:t>O curso fundamenta-se epistemologicamente na Teoria do Construtivismo Social, cujo principal precursor analítico é Lev Vygotsky (1978), que postula que o conhecimento não é uma réplica passiva da realidade, mas sim uma construção sociocultural ativa e dialógica, mediada pela interação e pelo contexto histórico dos indivíduos envolvidos.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jc w:val="both"/>
        <w:outlineLvl w:val="1"/>
        <w:rPr>
          <w:rFonts w:eastAsia="Times New Roman" w:cs="Calibri" w:cstheme="minorHAnsi"/>
          <w:sz w:val="24"/>
          <w:szCs w:val="24"/>
          <w:lang w:val="pt-BR" w:eastAsia="es-EC"/>
        </w:rPr>
      </w:pPr>
      <w:r>
        <w:rPr>
          <w:rFonts w:eastAsia="Times New Roman" w:cs="Calibri" w:cstheme="minorHAnsi"/>
          <w:sz w:val="24"/>
          <w:szCs w:val="24"/>
          <w:lang w:val="pt-BR" w:eastAsia="es-EC"/>
        </w:rPr>
        <w:t>Em consonância com essa abordagem, a dinâmica em sala de aula se afastará da transferência unidirecional de conhecimento e será regida pelo princípio sociopedagógico de "aprender fazendo". A sala de aula será transformada em uma oficina permanente de cocriação científica, onde cada sessão será estruturada por meio de discussões guiadas, oficinas interativas de análise microssociológica e apresentações coletivas de desconstrução documental. O processo de apoio pedagógico guiará progressivamente os alunos no manuseio de ferramentas qualitativas complexas, culminando na redação final obrigatória, por cada aluno, de um ensaio científico original, adequado para submissão à revisão por pares, garantindo o desenvolvimento de elevadas habilidades de pesquisa e impacto acadêmico local.</w:t>
      </w:r>
    </w:p>
    <w:p>
      <w:pPr>
        <w:pStyle w:val="Normal"/>
        <w:rPr>
          <w:rFonts w:eastAsia="Times New Roman" w:cs="Calibri" w:cstheme="minorHAnsi"/>
          <w:sz w:val="24"/>
          <w:szCs w:val="24"/>
          <w:lang w:val="pt-BR" w:eastAsia="es-EC"/>
        </w:rPr>
      </w:pPr>
      <w:r>
        <w:rPr>
          <w:rFonts w:eastAsia="Times New Roman" w:cs="Calibri" w:cstheme="minorHAnsi"/>
          <w:sz w:val="24"/>
          <w:szCs w:val="24"/>
          <w:lang w:val="pt-BR" w:eastAsia="es-EC"/>
        </w:rPr>
      </w:r>
      <w:r>
        <w:br w:type="page"/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709" w:start="709"/>
        <w:jc w:val="both"/>
        <w:outlineLvl w:val="2"/>
        <w:rPr>
          <w:rFonts w:eastAsia="Times New Roman" w:cs="Calibri" w:cstheme="minorHAnsi"/>
          <w:b/>
          <w:bCs/>
          <w:sz w:val="24"/>
          <w:szCs w:val="24"/>
          <w:lang w:val="pt-BR" w:eastAsia="es-EC"/>
        </w:rPr>
      </w:pPr>
      <w:r>
        <w:rPr>
          <w:rFonts w:eastAsia="Times New Roman" w:cs="Calibri" w:cstheme="minorHAnsi"/>
          <w:b/>
          <w:bCs/>
          <w:sz w:val="24"/>
          <w:szCs w:val="24"/>
          <w:lang w:val="pt-BR" w:eastAsia="es-EC"/>
        </w:rPr>
        <w:t>CONTEÚDO DO PROGRAMA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709" w:start="709"/>
        <w:jc w:val="both"/>
        <w:outlineLvl w:val="2"/>
        <w:rPr>
          <w:rFonts w:eastAsia="Times New Roman" w:cs="Calibri" w:cstheme="minorHAnsi"/>
          <w:b/>
          <w:bCs/>
          <w:sz w:val="24"/>
          <w:szCs w:val="24"/>
          <w:lang w:val="pt-BR" w:eastAsia="es-EC"/>
        </w:rPr>
      </w:pPr>
      <w:r>
        <w:rPr>
          <w:rFonts w:eastAsia="Times New Roman" w:cs="Calibri" w:cstheme="minorHAnsi"/>
          <w:b/>
          <w:bCs/>
          <w:sz w:val="24"/>
          <w:szCs w:val="24"/>
          <w:lang w:val="pt-BR" w:eastAsia="es-EC"/>
        </w:rPr>
        <w:t>MÓDULO I: EPISTEMOLOGIA DOS SISTEMAS DE INOVAÇÃO E CULTURA GERENCIAL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709" w:start="709"/>
        <w:jc w:val="both"/>
        <w:outlineLvl w:val="2"/>
        <w:rPr>
          <w:rFonts w:eastAsia="Times New Roman" w:cs="Calibri" w:cstheme="minorHAnsi"/>
          <w:sz w:val="24"/>
          <w:szCs w:val="24"/>
          <w:lang w:val="pt-BR" w:eastAsia="es-EC"/>
        </w:rPr>
      </w:pPr>
      <w:r>
        <w:rPr>
          <w:rFonts w:eastAsia="Times New Roman" w:cs="Calibri" w:cstheme="minorHAnsi"/>
          <w:b/>
          <w:bCs/>
          <w:sz w:val="24"/>
          <w:szCs w:val="24"/>
          <w:lang w:val="pt-BR" w:eastAsia="es-EC"/>
        </w:rPr>
        <w:t xml:space="preserve">• </w:t>
      </w:r>
      <w:r>
        <w:rPr>
          <w:rFonts w:eastAsia="Times New Roman" w:cs="Calibri" w:cstheme="minorHAnsi"/>
          <w:sz w:val="24"/>
          <w:szCs w:val="24"/>
          <w:lang w:val="pt-BR" w:eastAsia="es-EC"/>
        </w:rPr>
        <w:t>Abordagem Sociofilosófica: O esporte de alto rendimento como um subsistema de conhecimento aberto e dinâmico. Evolução da dinâmica relacional intersetorial: do Triângulo de Sábato e da Hélice Tripla à ecologia social da Hélice Quíntupla (Carayannis &amp; Campbell). Gestão esportiva interpretada como um sistema simbólico fechado e uma rede de significados compartilhados (Girginov).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709" w:start="709"/>
        <w:jc w:val="both"/>
        <w:outlineLvl w:val="2"/>
        <w:rPr>
          <w:rFonts w:eastAsia="Times New Roman" w:cs="Calibri" w:cstheme="minorHAnsi"/>
          <w:b/>
          <w:bCs/>
          <w:sz w:val="24"/>
          <w:szCs w:val="24"/>
          <w:lang w:val="pt-BR" w:eastAsia="es-EC"/>
        </w:rPr>
      </w:pPr>
      <w:r>
        <w:rPr>
          <w:rFonts w:eastAsia="Times New Roman" w:cs="Calibri" w:cstheme="minorHAnsi"/>
          <w:b/>
          <w:bCs/>
          <w:sz w:val="24"/>
          <w:szCs w:val="24"/>
          <w:lang w:val="pt-BR" w:eastAsia="es-EC"/>
        </w:rPr>
        <w:t xml:space="preserve">• </w:t>
      </w:r>
      <w:r>
        <w:rPr>
          <w:rFonts w:eastAsia="Times New Roman" w:cs="Calibri" w:cstheme="minorHAnsi"/>
          <w:sz w:val="24"/>
          <w:szCs w:val="24"/>
          <w:lang w:val="pt-BR" w:eastAsia="es-EC"/>
        </w:rPr>
        <w:t>Eixo Crítico:</w:t>
      </w:r>
      <w:r>
        <w:rPr>
          <w:rFonts w:eastAsia="Times New Roman" w:cs="Calibri" w:cstheme="minorHAnsi"/>
          <w:b/>
          <w:bCs/>
          <w:sz w:val="24"/>
          <w:szCs w:val="24"/>
          <w:lang w:val="pt-BR" w:eastAsia="es-EC"/>
        </w:rPr>
        <w:t xml:space="preserve"> </w:t>
      </w:r>
      <w:r>
        <w:rPr>
          <w:rFonts w:eastAsia="Times New Roman" w:cs="Calibri" w:cstheme="minorHAnsi"/>
          <w:sz w:val="24"/>
          <w:szCs w:val="24"/>
          <w:lang w:val="pt-BR" w:eastAsia="es-EC"/>
        </w:rPr>
        <w:t>Limitações dos modelos lineares de desempenho ocidentais (SPLISS) diante da complexidade cultural latino-americana.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709" w:start="709"/>
        <w:jc w:val="both"/>
        <w:outlineLvl w:val="2"/>
        <w:rPr>
          <w:rFonts w:eastAsia="Times New Roman" w:cs="Calibri" w:cstheme="minorHAnsi"/>
          <w:b/>
          <w:bCs/>
          <w:sz w:val="24"/>
          <w:szCs w:val="24"/>
          <w:lang w:val="pt-BR" w:eastAsia="es-EC"/>
        </w:rPr>
      </w:pPr>
      <w:r>
        <w:rPr>
          <w:rFonts w:eastAsia="Times New Roman" w:cs="Calibri" w:cstheme="minorHAnsi"/>
          <w:b/>
          <w:bCs/>
          <w:sz w:val="24"/>
          <w:szCs w:val="24"/>
          <w:lang w:val="pt-BR" w:eastAsia="es-EC"/>
        </w:rPr>
        <w:t>MÓDULO II: A HÉLICE DO "GOVERNO" E A SOCIOLOGIA DAS ESTRUTURAS DE PODER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709" w:start="709"/>
        <w:jc w:val="both"/>
        <w:outlineLvl w:val="2"/>
        <w:rPr>
          <w:rFonts w:eastAsia="Times New Roman" w:cs="Calibri" w:cstheme="minorHAnsi"/>
          <w:sz w:val="24"/>
          <w:szCs w:val="24"/>
          <w:lang w:val="pt-BR" w:eastAsia="es-EC"/>
        </w:rPr>
      </w:pPr>
      <w:r>
        <w:rPr>
          <w:rFonts w:eastAsia="Times New Roman" w:cs="Calibri" w:cstheme="minorHAnsi"/>
          <w:b/>
          <w:bCs/>
          <w:sz w:val="24"/>
          <w:szCs w:val="24"/>
          <w:lang w:val="pt-BR" w:eastAsia="es-EC"/>
        </w:rPr>
        <w:t xml:space="preserve">• </w:t>
      </w:r>
      <w:r>
        <w:rPr>
          <w:rFonts w:eastAsia="Times New Roman" w:cs="Calibri" w:cstheme="minorHAnsi"/>
          <w:sz w:val="24"/>
          <w:szCs w:val="24"/>
          <w:lang w:val="pt-BR" w:eastAsia="es-EC"/>
        </w:rPr>
        <w:t>Abordagem sociofilosófica: O Estado como aparato regulador e sua interferência no campo do esporte de elite. Tensões normativas e institucionais em torno da Lei Geral do Esporte. Burocratismo, personalismo e patrimonialismo analisados ​​como forças tradicionais de dominação hegemônica e fatores de entropia organizacional.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709" w:start="709"/>
        <w:jc w:val="both"/>
        <w:outlineLvl w:val="2"/>
        <w:rPr>
          <w:rFonts w:eastAsia="Times New Roman" w:cs="Calibri" w:cstheme="minorHAnsi"/>
          <w:b/>
          <w:bCs/>
          <w:sz w:val="24"/>
          <w:szCs w:val="24"/>
          <w:lang w:val="pt-BR" w:eastAsia="es-EC"/>
        </w:rPr>
      </w:pPr>
      <w:r>
        <w:rPr>
          <w:rFonts w:eastAsia="Times New Roman" w:cs="Calibri" w:cstheme="minorHAnsi"/>
          <w:sz w:val="24"/>
          <w:szCs w:val="24"/>
          <w:lang w:val="pt-BR" w:eastAsia="es-EC"/>
        </w:rPr>
        <w:t xml:space="preserve">• </w:t>
      </w:r>
      <w:r>
        <w:rPr>
          <w:rFonts w:eastAsia="Times New Roman" w:cs="Calibri" w:cstheme="minorHAnsi"/>
          <w:sz w:val="24"/>
          <w:szCs w:val="24"/>
          <w:lang w:val="pt-BR" w:eastAsia="es-EC"/>
        </w:rPr>
        <w:t>Eixo crítico: Revelação qualitativa de como líderes de organizações esportivas retêm informações de forma opaca para preservar estruturas de poder internas, dificultando a governança multidimensional.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709" w:start="709"/>
        <w:jc w:val="both"/>
        <w:outlineLvl w:val="2"/>
        <w:rPr>
          <w:rFonts w:eastAsia="Times New Roman" w:cs="Calibri" w:cstheme="minorHAnsi"/>
          <w:b/>
          <w:bCs/>
          <w:sz w:val="24"/>
          <w:szCs w:val="24"/>
          <w:lang w:val="pt-BR" w:eastAsia="es-EC"/>
        </w:rPr>
      </w:pPr>
      <w:r>
        <w:rPr>
          <w:rFonts w:eastAsia="Times New Roman" w:cs="Calibri" w:cstheme="minorHAnsi"/>
          <w:b/>
          <w:bCs/>
          <w:sz w:val="24"/>
          <w:szCs w:val="24"/>
          <w:lang w:val="pt-BR" w:eastAsia="es-EC"/>
        </w:rPr>
        <w:t>MÓDULO III: AS HÉLICES DA "INDÚSTRIA" E DA "SOCIEDADE CIVIL": DESCONSTRUINDO AS LINHAS DE EXCLUSÃO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709" w:start="709"/>
        <w:jc w:val="both"/>
        <w:outlineLvl w:val="2"/>
        <w:rPr>
          <w:rFonts w:eastAsia="Times New Roman" w:cs="Calibri" w:cstheme="minorHAnsi"/>
          <w:sz w:val="24"/>
          <w:szCs w:val="24"/>
          <w:lang w:val="pt-BR" w:eastAsia="es-EC"/>
        </w:rPr>
      </w:pPr>
      <w:r>
        <w:rPr>
          <w:rFonts w:eastAsia="Times New Roman" w:cs="Calibri" w:cstheme="minorHAnsi"/>
          <w:b/>
          <w:bCs/>
          <w:sz w:val="24"/>
          <w:szCs w:val="24"/>
          <w:lang w:val="pt-BR" w:eastAsia="es-EC"/>
        </w:rPr>
        <w:t xml:space="preserve">• </w:t>
      </w:r>
      <w:r>
        <w:rPr>
          <w:rFonts w:eastAsia="Times New Roman" w:cs="Calibri" w:cstheme="minorHAnsi"/>
          <w:sz w:val="24"/>
          <w:szCs w:val="24"/>
          <w:lang w:val="pt-BR" w:eastAsia="es-EC"/>
        </w:rPr>
        <w:t>Abordagem Sócio-filosófica: Dialética entre o mercado corporativo (mercantilização e virtualização do espetáculo esportivo) e os direitos cívicos da comunidade e da sociedade civil organizada. A alienação do atleta: a tensão entre sua conversão em um ativo comercializável ou seu reconhecimento como sujeito e cidadão integral.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709" w:start="709"/>
        <w:jc w:val="both"/>
        <w:outlineLvl w:val="2"/>
        <w:rPr>
          <w:rFonts w:eastAsia="Times New Roman" w:cs="Calibri" w:cstheme="minorHAnsi"/>
          <w:sz w:val="24"/>
          <w:szCs w:val="24"/>
          <w:lang w:val="pt-BR" w:eastAsia="es-EC"/>
        </w:rPr>
      </w:pPr>
      <w:r>
        <w:rPr>
          <w:rFonts w:eastAsia="Times New Roman" w:cs="Calibri" w:cstheme="minorHAnsi"/>
          <w:b/>
          <w:bCs/>
          <w:sz w:val="24"/>
          <w:szCs w:val="24"/>
          <w:lang w:val="pt-BR" w:eastAsia="es-EC"/>
        </w:rPr>
        <w:t xml:space="preserve">• </w:t>
      </w:r>
      <w:r>
        <w:rPr>
          <w:rFonts w:eastAsia="Times New Roman" w:cs="Calibri" w:cstheme="minorHAnsi"/>
          <w:sz w:val="24"/>
          <w:szCs w:val="24"/>
          <w:lang w:val="pt-BR" w:eastAsia="es-EC"/>
        </w:rPr>
        <w:t>Eixo Crítico: Análise das dinâmicas sociorraciais, assimetrias de classe e discriminação contra grupos étnicos. Desconstrução dos métodos etnomédicos de exclusão que limitam estruturalmente o avanço de minorias das favelas e periferias do estado do Rio de Janeiro a posições de liderança no esporte federado.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709" w:start="709"/>
        <w:jc w:val="both"/>
        <w:outlineLvl w:val="2"/>
        <w:rPr>
          <w:rFonts w:eastAsia="Times New Roman" w:cs="Calibri" w:cstheme="minorHAnsi"/>
          <w:b/>
          <w:bCs/>
          <w:sz w:val="24"/>
          <w:szCs w:val="24"/>
          <w:lang w:val="pt-BR" w:eastAsia="es-EC"/>
        </w:rPr>
      </w:pPr>
      <w:r>
        <w:rPr>
          <w:rFonts w:eastAsia="Times New Roman" w:cs="Calibri" w:cstheme="minorHAnsi"/>
          <w:b/>
          <w:bCs/>
          <w:sz w:val="24"/>
          <w:szCs w:val="24"/>
          <w:lang w:val="pt-BR" w:eastAsia="es-EC"/>
        </w:rPr>
        <w:t>MÓDULO IV: A QUINTA HÉLICE "MEIO AMBIENTE NATURAL" E O IMPERATIVO MORAL KANTIANO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709" w:start="709"/>
        <w:jc w:val="both"/>
        <w:outlineLvl w:val="2"/>
        <w:rPr>
          <w:rFonts w:eastAsia="Times New Roman" w:cs="Calibri" w:cstheme="minorHAnsi"/>
          <w:sz w:val="24"/>
          <w:szCs w:val="24"/>
          <w:lang w:val="pt-BR" w:eastAsia="es-EC"/>
        </w:rPr>
      </w:pPr>
      <w:r>
        <w:rPr>
          <w:rFonts w:eastAsia="Times New Roman" w:cs="Calibri" w:cstheme="minorHAnsi"/>
          <w:b/>
          <w:bCs/>
          <w:sz w:val="24"/>
          <w:szCs w:val="24"/>
          <w:lang w:val="pt-BR" w:eastAsia="es-EC"/>
        </w:rPr>
        <w:t xml:space="preserve">• </w:t>
      </w:r>
      <w:r>
        <w:rPr>
          <w:rFonts w:eastAsia="Times New Roman" w:cs="Calibri" w:cstheme="minorHAnsi"/>
          <w:sz w:val="24"/>
          <w:szCs w:val="24"/>
          <w:lang w:val="pt-BR" w:eastAsia="es-EC"/>
        </w:rPr>
        <w:t>Abordagem Sócio-filosófica: O meio ambiente natural como dimensão ontológica e motor ativo do desenvolvimento sustentável (Carayannis &amp; Campbell). Integração da ética do dever pelo dever (Gesinnung) de Immanuel Kant (1785) na desconstrução da prática administrativa. A necessidade de uma convicção</w:t>
      </w:r>
      <w:r>
        <w:rPr>
          <w:rFonts w:eastAsia="Times New Roman" w:cs="Calibri" w:cstheme="minorHAnsi"/>
          <w:b/>
          <w:bCs/>
          <w:sz w:val="24"/>
          <w:szCs w:val="24"/>
          <w:lang w:val="pt-BR" w:eastAsia="es-EC"/>
        </w:rPr>
        <w:t xml:space="preserve"> </w:t>
      </w:r>
      <w:r>
        <w:rPr>
          <w:rFonts w:eastAsia="Times New Roman" w:cs="Calibri" w:cstheme="minorHAnsi"/>
          <w:sz w:val="24"/>
          <w:szCs w:val="24"/>
          <w:lang w:val="pt-BR" w:eastAsia="es-EC"/>
        </w:rPr>
        <w:t>moral interna que substitua o mero cumprimento utilitarista ou superficial das leis ambientais por medo de sanções institucionais.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709" w:start="709"/>
        <w:jc w:val="both"/>
        <w:outlineLvl w:val="2"/>
        <w:rPr>
          <w:rFonts w:eastAsia="Times New Roman" w:cs="Calibri" w:cstheme="minorHAnsi"/>
          <w:sz w:val="24"/>
          <w:szCs w:val="24"/>
          <w:lang w:val="pt-BR" w:eastAsia="es-EC"/>
        </w:rPr>
      </w:pPr>
      <w:r>
        <w:rPr>
          <w:rFonts w:eastAsia="Times New Roman" w:cs="Calibri" w:cstheme="minorHAnsi"/>
          <w:b/>
          <w:bCs/>
          <w:sz w:val="24"/>
          <w:szCs w:val="24"/>
          <w:lang w:val="pt-BR" w:eastAsia="es-EC"/>
        </w:rPr>
        <w:t xml:space="preserve">• </w:t>
      </w:r>
      <w:r>
        <w:rPr>
          <w:rFonts w:eastAsia="Times New Roman" w:cs="Calibri" w:cstheme="minorHAnsi"/>
          <w:sz w:val="24"/>
          <w:szCs w:val="24"/>
          <w:lang w:val="pt-BR" w:eastAsia="es-EC"/>
        </w:rPr>
        <w:t>Eixo Crítico: Análise do colapso metabólico pós-olímpico e do mito do legado massivo no Rio de Janeiro, com base na degradação e inatividade da infraestrutura de 2016 e na poluição crônica da Baía de Guanabara e dos ecossistemas costeiros, revelando uma cultura de gestão extrativista cega à saúde planetária.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jc w:val="both"/>
        <w:outlineLvl w:val="1"/>
        <w:rPr>
          <w:rFonts w:eastAsia="Times New Roman" w:cs="Calibri" w:cstheme="minorHAnsi"/>
          <w:b/>
          <w:bCs/>
          <w:sz w:val="24"/>
          <w:szCs w:val="24"/>
          <w:lang w:val="pt-BR" w:eastAsia="es-EC"/>
        </w:rPr>
      </w:pPr>
      <w:r>
        <w:rPr>
          <w:rFonts w:eastAsia="Times New Roman" w:cs="Calibri" w:cstheme="minorHAnsi"/>
          <w:b/>
          <w:bCs/>
          <w:sz w:val="24"/>
          <w:szCs w:val="24"/>
          <w:lang w:val="pt-BR" w:eastAsia="es-EC"/>
        </w:rPr>
        <w:t>MÓDULO V: O PARADIGMA DA INDÚSTRIA 5.0 E O AJUSTE ANALÍTICO GERENCIAL – BRASIL (SAG-B)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709" w:start="709"/>
        <w:jc w:val="both"/>
        <w:outlineLvl w:val="1"/>
        <w:rPr>
          <w:rFonts w:eastAsia="Times New Roman" w:cs="Calibri" w:cstheme="minorHAnsi"/>
          <w:sz w:val="24"/>
          <w:szCs w:val="24"/>
          <w:lang w:val="pt-BR" w:eastAsia="es-EC"/>
        </w:rPr>
      </w:pPr>
      <w:r>
        <w:rPr>
          <w:rFonts w:eastAsia="Times New Roman" w:cs="Calibri" w:cstheme="minorHAnsi"/>
          <w:b/>
          <w:bCs/>
          <w:sz w:val="24"/>
          <w:szCs w:val="24"/>
          <w:lang w:val="pt-BR" w:eastAsia="es-EC"/>
        </w:rPr>
        <w:t xml:space="preserve">• </w:t>
      </w:r>
      <w:r>
        <w:rPr>
          <w:rFonts w:eastAsia="Times New Roman" w:cs="Calibri" w:cstheme="minorHAnsi"/>
          <w:sz w:val="24"/>
          <w:szCs w:val="24"/>
          <w:lang w:val="pt-BR" w:eastAsia="es-EC"/>
        </w:rPr>
        <w:t>Abordagem Sócio-filosófica: A transição sociocêntrica para a Indústria 5.0: primazia da centralidade humana, resiliência social e ecoinovação institucional. A Etnometodologia de Harold Garfinkel como ferramenta para a auditoria microssociológica da ação situada e a inteligibilidade pública (responsabilização) das decisões dos líderes.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709" w:start="709"/>
        <w:jc w:val="both"/>
        <w:outlineLvl w:val="1"/>
        <w:rPr>
          <w:rFonts w:eastAsia="Times New Roman" w:cs="Calibri" w:cstheme="minorHAnsi"/>
          <w:sz w:val="24"/>
          <w:szCs w:val="24"/>
          <w:lang w:val="pt-BR" w:eastAsia="es-EC"/>
        </w:rPr>
      </w:pPr>
      <w:r>
        <w:rPr>
          <w:rFonts w:eastAsia="Times New Roman" w:cs="Calibri" w:cstheme="minorHAnsi"/>
          <w:b/>
          <w:bCs/>
          <w:sz w:val="24"/>
          <w:szCs w:val="24"/>
          <w:lang w:val="pt-BR" w:eastAsia="es-EC"/>
        </w:rPr>
        <w:t xml:space="preserve">• </w:t>
      </w:r>
      <w:r>
        <w:rPr>
          <w:rFonts w:eastAsia="Times New Roman" w:cs="Calibri" w:cstheme="minorHAnsi"/>
          <w:sz w:val="24"/>
          <w:szCs w:val="24"/>
          <w:lang w:val="pt-BR" w:eastAsia="es-EC"/>
        </w:rPr>
        <w:t>Eixo Crítico: O constructo SAG-B como uma força negentrópica contra o isolamento organizacional. Desenvolvimento de suas três dimensões operacionais na prática estudantil: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jc w:val="both"/>
        <w:outlineLvl w:val="1"/>
        <w:rPr>
          <w:rFonts w:eastAsia="Times New Roman" w:cs="Calibri" w:cstheme="minorHAnsi"/>
          <w:b/>
          <w:bCs/>
          <w:sz w:val="24"/>
          <w:szCs w:val="24"/>
          <w:lang w:val="pt-BR" w:eastAsia="es-EC"/>
        </w:rPr>
      </w:pPr>
      <w:r>
        <w:rPr>
          <w:rFonts w:eastAsia="Times New Roman" w:cs="Calibri" w:cstheme="minorHAnsi"/>
          <w:b/>
          <w:bCs/>
          <w:sz w:val="24"/>
          <w:szCs w:val="24"/>
          <w:lang w:val="pt-BR" w:eastAsia="es-EC"/>
        </w:rPr>
        <w:t xml:space="preserve">1. </w:t>
      </w:r>
      <w:r>
        <w:rPr>
          <w:rFonts w:eastAsia="Times New Roman" w:cs="Calibri" w:cstheme="minorHAnsi"/>
          <w:i/>
          <w:iCs/>
          <w:sz w:val="24"/>
          <w:szCs w:val="24"/>
          <w:lang w:val="pt-BR" w:eastAsia="es-EC"/>
        </w:rPr>
        <w:t>Dimensão Microssociológica:</w:t>
      </w:r>
      <w:r>
        <w:rPr>
          <w:rFonts w:eastAsia="Times New Roman" w:cs="Calibri" w:cstheme="minorHAnsi"/>
          <w:sz w:val="24"/>
          <w:szCs w:val="24"/>
          <w:lang w:val="pt-BR" w:eastAsia="es-EC"/>
        </w:rPr>
        <w:t xml:space="preserve"> Análise do raciocínio prático e discursivo diário em clubes esportivos.</w:t>
      </w:r>
      <w:r>
        <w:rPr>
          <w:rFonts w:eastAsia="Times New Roman" w:cs="Calibri" w:cstheme="minorHAnsi"/>
          <w:b/>
          <w:bCs/>
          <w:sz w:val="24"/>
          <w:szCs w:val="24"/>
          <w:lang w:val="pt-BR" w:eastAsia="es-EC"/>
        </w:rPr>
        <w:t xml:space="preserve"> 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jc w:val="both"/>
        <w:outlineLvl w:val="1"/>
        <w:rPr>
          <w:rFonts w:eastAsia="Times New Roman" w:cs="Calibri" w:cstheme="minorHAnsi"/>
          <w:b/>
          <w:bCs/>
          <w:sz w:val="24"/>
          <w:szCs w:val="24"/>
          <w:lang w:val="pt-BR" w:eastAsia="es-EC"/>
        </w:rPr>
      </w:pPr>
      <w:r>
        <w:rPr>
          <w:rFonts w:eastAsia="Times New Roman" w:cs="Calibri" w:cstheme="minorHAnsi"/>
          <w:b/>
          <w:bCs/>
          <w:sz w:val="24"/>
          <w:szCs w:val="24"/>
          <w:lang w:val="pt-BR" w:eastAsia="es-EC"/>
        </w:rPr>
        <w:t xml:space="preserve">2. </w:t>
      </w:r>
      <w:r>
        <w:rPr>
          <w:rFonts w:eastAsia="Times New Roman" w:cs="Calibri" w:cstheme="minorHAnsi"/>
          <w:i/>
          <w:iCs/>
          <w:sz w:val="24"/>
          <w:szCs w:val="24"/>
          <w:lang w:val="pt-BR" w:eastAsia="es-EC"/>
        </w:rPr>
        <w:t>Dimensão Axiológico-Ética:</w:t>
      </w:r>
      <w:r>
        <w:rPr>
          <w:rFonts w:eastAsia="Times New Roman" w:cs="Calibri" w:cstheme="minorHAnsi"/>
          <w:sz w:val="24"/>
          <w:szCs w:val="24"/>
          <w:lang w:val="pt-BR" w:eastAsia="es-EC"/>
        </w:rPr>
        <w:t xml:space="preserve"> Avaliação do compromisso real com a saúde mental dos atletas, equidade de gênero, planos de carreira dupla e erradicação do racismo estrutural.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jc w:val="both"/>
        <w:outlineLvl w:val="1"/>
        <w:rPr>
          <w:rFonts w:eastAsia="Times New Roman" w:cs="Calibri" w:cstheme="minorHAnsi"/>
          <w:b/>
          <w:bCs/>
          <w:sz w:val="24"/>
          <w:szCs w:val="24"/>
          <w:lang w:val="pt-BR" w:eastAsia="es-EC"/>
        </w:rPr>
      </w:pPr>
      <w:r>
        <w:rPr>
          <w:rFonts w:eastAsia="Times New Roman" w:cs="Calibri" w:cstheme="minorHAnsi"/>
          <w:b/>
          <w:bCs/>
          <w:sz w:val="24"/>
          <w:szCs w:val="24"/>
          <w:lang w:val="pt-BR" w:eastAsia="es-EC"/>
        </w:rPr>
        <w:t xml:space="preserve">3. </w:t>
      </w:r>
      <w:r>
        <w:rPr>
          <w:rFonts w:eastAsia="Times New Roman" w:cs="Calibri" w:cstheme="minorHAnsi"/>
          <w:i/>
          <w:iCs/>
          <w:sz w:val="24"/>
          <w:szCs w:val="24"/>
          <w:lang w:val="pt-BR" w:eastAsia="es-EC"/>
        </w:rPr>
        <w:t>Dimensão Macrossistêmica:</w:t>
      </w:r>
      <w:r>
        <w:rPr>
          <w:rFonts w:eastAsia="Times New Roman" w:cs="Calibri" w:cstheme="minorHAnsi"/>
          <w:sz w:val="24"/>
          <w:szCs w:val="24"/>
          <w:lang w:val="pt-BR" w:eastAsia="es-EC"/>
        </w:rPr>
        <w:t xml:space="preserve"> Codisign de redes de transferência de tecnologia e participação cívica genuína entre a Universidade, o Governo, a Indústria e a Comunidade Local.</w:t>
      </w:r>
    </w:p>
    <w:p>
      <w:pPr>
        <w:pStyle w:val="Normal"/>
        <w:spacing w:lineRule="auto" w:line="240" w:beforeAutospacing="1" w:afterAutospacing="1"/>
        <w:jc w:val="both"/>
        <w:rPr>
          <w:rFonts w:eastAsia="Times New Roman" w:cs="Calibri" w:cstheme="minorHAnsi"/>
          <w:b/>
          <w:bCs/>
          <w:sz w:val="24"/>
          <w:szCs w:val="24"/>
          <w:lang w:val="pt-BR" w:eastAsia="es-EC"/>
        </w:rPr>
      </w:pPr>
      <w:r>
        <w:rPr>
          <w:rFonts w:eastAsia="Times New Roman" w:cs="Calibri" w:cstheme="minorHAnsi"/>
          <w:b/>
          <w:bCs/>
          <w:sz w:val="24"/>
          <w:szCs w:val="24"/>
          <w:lang w:val="pt-BR" w:eastAsia="es-EC"/>
        </w:rPr>
        <w:t>PLANO DE AVALIAÇÃO DE ENSINO E COGNITIVA</w:t>
      </w:r>
    </w:p>
    <w:p>
      <w:pPr>
        <w:pStyle w:val="Normal"/>
        <w:spacing w:lineRule="auto" w:line="240" w:beforeAutospacing="1" w:afterAutospacing="1"/>
        <w:jc w:val="both"/>
        <w:rPr>
          <w:rFonts w:eastAsia="Times New Roman" w:cs="Calibri" w:cstheme="minorHAnsi"/>
          <w:sz w:val="24"/>
          <w:szCs w:val="24"/>
          <w:lang w:val="pt-BR" w:eastAsia="es-EC"/>
        </w:rPr>
      </w:pPr>
      <w:r>
        <w:rPr>
          <w:rFonts w:eastAsia="Times New Roman" w:cs="Calibri" w:cstheme="minorHAnsi"/>
          <w:sz w:val="24"/>
          <w:szCs w:val="24"/>
          <w:lang w:val="pt-BR" w:eastAsia="es-EC"/>
        </w:rPr>
        <w:t>A avaliação do seminário é contínua, somativa e enfatiza a produção científica qualitativa.</w:t>
      </w:r>
    </w:p>
    <w:tbl>
      <w:tblPr>
        <w:tblStyle w:val="Tablaconcuadrcula"/>
        <w:tblW w:w="8208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4105"/>
        <w:gridCol w:w="2835"/>
        <w:gridCol w:w="1268"/>
      </w:tblGrid>
      <w:tr>
        <w:trPr/>
        <w:tc>
          <w:tcPr>
            <w:tcW w:w="4105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both"/>
              <w:rPr>
                <w:rFonts w:eastAsia="Times New Roman" w:cs="Calibri" w:cstheme="minorHAnsi"/>
                <w:sz w:val="24"/>
                <w:szCs w:val="24"/>
                <w:lang w:val="es-EC" w:eastAsia="es-EC"/>
              </w:rPr>
            </w:pPr>
            <w:r>
              <w:rPr>
                <w:rFonts w:eastAsia="Calibri" w:cs="Calibri" w:cstheme="minorHAnsi"/>
                <w:kern w:val="0"/>
                <w:sz w:val="24"/>
                <w:szCs w:val="24"/>
                <w:lang w:eastAsia="en-US" w:bidi="ar-SA"/>
              </w:rPr>
              <w:t xml:space="preserve">Atividade Avaliativa 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both"/>
              <w:rPr>
                <w:rFonts w:eastAsia="Times New Roman" w:cs="Calibri" w:cstheme="minorHAnsi"/>
                <w:sz w:val="24"/>
                <w:szCs w:val="24"/>
                <w:lang w:val="es-EC" w:eastAsia="es-EC"/>
              </w:rPr>
            </w:pPr>
            <w:r>
              <w:rPr>
                <w:rFonts w:eastAsia="Calibri" w:cs="Calibri" w:cstheme="minorHAnsi"/>
                <w:kern w:val="0"/>
                <w:sz w:val="24"/>
                <w:szCs w:val="24"/>
                <w:lang w:eastAsia="en-US" w:bidi="ar-SA"/>
              </w:rPr>
              <w:t>Base Metodológica</w:t>
            </w:r>
          </w:p>
        </w:tc>
        <w:tc>
          <w:tcPr>
            <w:tcW w:w="1268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both"/>
              <w:rPr>
                <w:rFonts w:eastAsia="Times New Roman" w:cs="Calibri" w:cstheme="minorHAnsi"/>
                <w:sz w:val="24"/>
                <w:szCs w:val="24"/>
                <w:lang w:val="es-EC" w:eastAsia="es-EC"/>
              </w:rPr>
            </w:pPr>
            <w:r>
              <w:rPr>
                <w:rFonts w:eastAsia="Calibri" w:cs="Calibri" w:cstheme="minorHAnsi"/>
                <w:kern w:val="0"/>
                <w:sz w:val="24"/>
                <w:szCs w:val="24"/>
                <w:lang w:eastAsia="en-US" w:bidi="ar-SA"/>
              </w:rPr>
              <w:t xml:space="preserve">Percentual </w:t>
            </w:r>
          </w:p>
        </w:tc>
      </w:tr>
      <w:tr>
        <w:trPr/>
        <w:tc>
          <w:tcPr>
            <w:tcW w:w="4105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both"/>
              <w:rPr>
                <w:rFonts w:eastAsia="Times New Roman" w:cs="Calibri" w:cstheme="minorHAnsi"/>
                <w:sz w:val="24"/>
                <w:szCs w:val="24"/>
                <w:lang w:val="pt-BR" w:eastAsia="es-EC"/>
              </w:rPr>
            </w:pPr>
            <w:r>
              <w:rPr>
                <w:rFonts w:eastAsia="Calibri" w:cs="Calibri" w:cstheme="minorHAnsi"/>
                <w:kern w:val="0"/>
                <w:sz w:val="24"/>
                <w:szCs w:val="24"/>
                <w:lang w:val="pt-BR" w:eastAsia="en-US" w:bidi="ar-SA"/>
              </w:rPr>
              <w:t xml:space="preserve">Mapeamento de Relações de Poder 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both"/>
              <w:rPr>
                <w:rFonts w:eastAsia="Times New Roman" w:cs="Calibri" w:cstheme="minorHAnsi"/>
                <w:sz w:val="24"/>
                <w:szCs w:val="24"/>
                <w:lang w:val="es-EC" w:eastAsia="es-EC"/>
              </w:rPr>
            </w:pPr>
            <w:r>
              <w:rPr>
                <w:rFonts w:eastAsia="Calibri" w:cs="Calibri" w:cstheme="minorHAnsi"/>
                <w:kern w:val="0"/>
                <w:sz w:val="24"/>
                <w:szCs w:val="24"/>
                <w:lang w:val="pt-BR" w:eastAsia="en-US" w:bidi="ar-SA"/>
              </w:rPr>
              <w:t>Abordagem Qualitativa</w:t>
            </w:r>
            <w:r>
              <w:rPr>
                <w:rFonts w:eastAsia="Calibri" w:cs="Calibri" w:cstheme="minorHAnsi"/>
                <w:kern w:val="0"/>
                <w:sz w:val="24"/>
                <w:szCs w:val="24"/>
                <w:lang w:eastAsia="en-US" w:bidi="ar-SA"/>
              </w:rPr>
              <w:t xml:space="preserve">  </w:t>
            </w:r>
          </w:p>
        </w:tc>
        <w:tc>
          <w:tcPr>
            <w:tcW w:w="1268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both"/>
              <w:rPr>
                <w:rFonts w:eastAsia="Times New Roman" w:cs="Calibri" w:cstheme="minorHAnsi"/>
                <w:sz w:val="24"/>
                <w:szCs w:val="24"/>
                <w:lang w:val="es-EC" w:eastAsia="es-EC"/>
              </w:rPr>
            </w:pPr>
            <w:r>
              <w:rPr>
                <w:rFonts w:eastAsia="Calibri" w:cs="Calibri" w:cstheme="minorHAnsi"/>
                <w:kern w:val="0"/>
                <w:sz w:val="24"/>
                <w:szCs w:val="24"/>
                <w:lang w:eastAsia="en-US" w:bidi="ar-SA"/>
              </w:rPr>
              <w:t>25%</w:t>
            </w:r>
          </w:p>
        </w:tc>
      </w:tr>
      <w:tr>
        <w:trPr/>
        <w:tc>
          <w:tcPr>
            <w:tcW w:w="4105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both"/>
              <w:rPr>
                <w:rFonts w:eastAsia="Times New Roman" w:cs="Calibri" w:cstheme="minorHAnsi"/>
                <w:sz w:val="24"/>
                <w:szCs w:val="24"/>
                <w:lang w:val="pt-BR" w:eastAsia="es-EC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  <w:t xml:space="preserve">Seminário de Debate Pós-Olímpico 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both"/>
              <w:rPr>
                <w:rFonts w:eastAsia="Times New Roman" w:cs="Calibri" w:cstheme="minorHAnsi"/>
                <w:sz w:val="24"/>
                <w:szCs w:val="24"/>
                <w:lang w:val="pt-BR" w:eastAsia="es-EC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t-BR" w:eastAsia="en-US" w:bidi="ar-SA"/>
              </w:rPr>
              <w:t>Análise de Sistemas</w:t>
            </w:r>
          </w:p>
        </w:tc>
        <w:tc>
          <w:tcPr>
            <w:tcW w:w="1268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both"/>
              <w:rPr>
                <w:rFonts w:eastAsia="Times New Roman" w:cs="Calibri" w:cstheme="minorHAnsi"/>
                <w:sz w:val="24"/>
                <w:szCs w:val="24"/>
                <w:lang w:val="es-EC" w:eastAsia="es-EC"/>
              </w:rPr>
            </w:pPr>
            <w:r>
              <w:rPr>
                <w:rFonts w:eastAsia="Calibri" w:cs="Calibri" w:cstheme="minorHAnsi"/>
                <w:kern w:val="0"/>
                <w:sz w:val="24"/>
                <w:szCs w:val="24"/>
                <w:lang w:eastAsia="en-US" w:bidi="ar-SA"/>
              </w:rPr>
              <w:t>25%</w:t>
            </w:r>
          </w:p>
        </w:tc>
      </w:tr>
      <w:tr>
        <w:trPr/>
        <w:tc>
          <w:tcPr>
            <w:tcW w:w="4105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both"/>
              <w:rPr>
                <w:rFonts w:eastAsia="Times New Roman" w:cs="Calibri" w:cstheme="minorHAnsi"/>
                <w:sz w:val="24"/>
                <w:szCs w:val="24"/>
                <w:lang w:val="pt-BR" w:eastAsia="es-EC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pt-BR" w:eastAsia="es-EC" w:bidi="ar-SA"/>
              </w:rPr>
              <w:t xml:space="preserve">Oficina Qualitativa e Trabalho de Campo  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both"/>
              <w:rPr>
                <w:rFonts w:eastAsia="Times New Roman" w:cs="Calibri" w:cstheme="minorHAnsi"/>
                <w:sz w:val="24"/>
                <w:szCs w:val="24"/>
                <w:lang w:val="es-EC" w:eastAsia="es-EC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es-EC" w:eastAsia="es-EC" w:bidi="ar-SA"/>
              </w:rPr>
              <w:t xml:space="preserve">Etnometodologia     </w:t>
            </w:r>
          </w:p>
        </w:tc>
        <w:tc>
          <w:tcPr>
            <w:tcW w:w="1268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both"/>
              <w:rPr>
                <w:rFonts w:eastAsia="Times New Roman" w:cs="Calibri" w:cstheme="minorHAnsi"/>
                <w:sz w:val="24"/>
                <w:szCs w:val="24"/>
                <w:lang w:val="es-EC" w:eastAsia="es-EC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es-EC" w:eastAsia="es-EC" w:bidi="ar-SA"/>
              </w:rPr>
              <w:t>20%</w:t>
            </w:r>
          </w:p>
        </w:tc>
      </w:tr>
      <w:tr>
        <w:trPr/>
        <w:tc>
          <w:tcPr>
            <w:tcW w:w="4105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both"/>
              <w:rPr>
                <w:rFonts w:eastAsia="Times New Roman" w:cs="Calibri" w:cstheme="minorHAnsi"/>
                <w:sz w:val="24"/>
                <w:szCs w:val="24"/>
                <w:lang w:val="pt-BR" w:eastAsia="es-EC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pt-BR" w:eastAsia="es-EC" w:bidi="ar-SA"/>
              </w:rPr>
              <w:t xml:space="preserve">Ensaio Científico Final (SAG-B) 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both"/>
              <w:rPr>
                <w:rFonts w:eastAsia="Times New Roman" w:cs="Calibri" w:cstheme="minorHAnsi"/>
                <w:sz w:val="24"/>
                <w:szCs w:val="24"/>
                <w:lang w:val="es-EC" w:eastAsia="es-EC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es-EC" w:eastAsia="es-EC" w:bidi="ar-SA"/>
              </w:rPr>
              <w:t xml:space="preserve">Construtivismo  </w:t>
            </w:r>
          </w:p>
        </w:tc>
        <w:tc>
          <w:tcPr>
            <w:tcW w:w="1268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both"/>
              <w:rPr>
                <w:rFonts w:eastAsia="Times New Roman" w:cs="Calibri" w:cstheme="minorHAnsi"/>
                <w:sz w:val="24"/>
                <w:szCs w:val="24"/>
                <w:lang w:val="es-EC" w:eastAsia="es-EC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es-EC" w:eastAsia="es-EC" w:bidi="ar-SA"/>
              </w:rPr>
              <w:t>30%</w:t>
            </w:r>
          </w:p>
        </w:tc>
      </w:tr>
    </w:tbl>
    <w:p>
      <w:pPr>
        <w:pStyle w:val="Normal"/>
        <w:spacing w:lineRule="auto" w:line="240" w:beforeAutospacing="1" w:afterAutospacing="1"/>
        <w:jc w:val="both"/>
        <w:rPr>
          <w:rFonts w:eastAsia="Times New Roman" w:cs="Calibri" w:cstheme="minorHAnsi"/>
          <w:sz w:val="24"/>
          <w:szCs w:val="24"/>
          <w:lang w:val="es-EC" w:eastAsia="es-EC"/>
        </w:rPr>
      </w:pPr>
      <w:r>
        <w:rPr>
          <w:rFonts w:eastAsia="Times New Roman" w:cs="Calibri" w:cstheme="minorHAnsi"/>
          <w:sz w:val="24"/>
          <w:szCs w:val="24"/>
          <w:lang w:val="es-EC" w:eastAsia="es-EC"/>
        </w:rPr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jc w:val="both"/>
        <w:outlineLvl w:val="1"/>
        <w:rPr>
          <w:rFonts w:eastAsia="Times New Roman" w:cs="Calibri" w:cstheme="minorHAnsi"/>
          <w:b/>
          <w:bCs/>
          <w:sz w:val="24"/>
          <w:szCs w:val="24"/>
          <w:lang w:val="pt-BR" w:eastAsia="es-EC"/>
        </w:rPr>
      </w:pPr>
      <w:r>
        <w:rPr>
          <w:rFonts w:eastAsia="Times New Roman" w:cs="Calibri" w:cstheme="minorHAnsi"/>
          <w:b/>
          <w:bCs/>
          <w:sz w:val="24"/>
          <w:szCs w:val="24"/>
          <w:lang w:val="pt-BR" w:eastAsia="es-EC"/>
        </w:rPr>
        <w:t xml:space="preserve">REFERENCIAS BIBLIOGRÁFICAS </w:t>
      </w:r>
    </w:p>
    <w:p>
      <w:pPr>
        <w:pStyle w:val="Normal"/>
        <w:spacing w:lineRule="auto" w:line="240"/>
        <w:ind w:start="360"/>
        <w:jc w:val="both"/>
        <w:rPr>
          <w:rFonts w:eastAsia="Times New Roman" w:cs="Calibri" w:cstheme="minorHAnsi"/>
          <w:sz w:val="24"/>
          <w:szCs w:val="24"/>
          <w:lang w:val="es-EC" w:eastAsia="es-EC"/>
        </w:rPr>
      </w:pPr>
      <w:r>
        <w:rPr>
          <w:rFonts w:eastAsia="Times New Roman" w:cs="Calibri" w:cstheme="minorHAnsi"/>
          <w:sz w:val="24"/>
          <w:szCs w:val="24"/>
          <w:lang w:val="es-EC" w:eastAsia="es-EC"/>
        </w:rPr>
        <w:t>AGUILAR, P.; GÓMEZ, S. Políticas y alcances en la gerencia del deporte de alto rendimiento en Venezuela. Actividad Física y Ciencias, v. 9, n. 2, p. 1-12, 2017.</w:t>
      </w:r>
    </w:p>
    <w:p>
      <w:pPr>
        <w:pStyle w:val="Normal"/>
        <w:spacing w:lineRule="auto" w:line="240"/>
        <w:ind w:start="360"/>
        <w:jc w:val="both"/>
        <w:rPr>
          <w:rFonts w:eastAsia="Times New Roman" w:cs="Calibri" w:cstheme="minorHAnsi"/>
          <w:sz w:val="24"/>
          <w:szCs w:val="24"/>
          <w:lang w:val="es-EC" w:eastAsia="es-EC"/>
        </w:rPr>
      </w:pPr>
      <w:r>
        <w:rPr>
          <w:rFonts w:eastAsia="Times New Roman" w:cs="Calibri" w:cstheme="minorHAnsi"/>
          <w:sz w:val="24"/>
          <w:szCs w:val="24"/>
          <w:lang w:val="es-EC" w:eastAsia="es-EC"/>
        </w:rPr>
        <w:t>CARAYANNIS, E. G.; CAMPBELL, D. F. 'Mode 3' and 'Quadruple Helix': Innovation systems towards a 21st century knowledge economy. International Journal of Technology Management, v. 46, n. 3-4, p. 201-234, 2009. DOI: 10.1504/IJTM.2009.023374.</w:t>
      </w:r>
    </w:p>
    <w:p>
      <w:pPr>
        <w:pStyle w:val="Normal"/>
        <w:spacing w:lineRule="auto" w:line="240"/>
        <w:ind w:start="360"/>
        <w:jc w:val="both"/>
        <w:rPr>
          <w:rFonts w:eastAsia="Times New Roman" w:cs="Calibri" w:cstheme="minorHAnsi"/>
          <w:sz w:val="24"/>
          <w:szCs w:val="24"/>
          <w:lang w:val="es-EC" w:eastAsia="es-EC"/>
        </w:rPr>
      </w:pPr>
      <w:r>
        <w:rPr>
          <w:rFonts w:eastAsia="Times New Roman" w:cs="Calibri" w:cstheme="minorHAnsi"/>
          <w:sz w:val="24"/>
          <w:szCs w:val="24"/>
          <w:lang w:val="es-EC" w:eastAsia="es-EC"/>
        </w:rPr>
        <w:t>CARAYANNIS, E. G.; CAMPBELL, D. F. Triple Helix, Quadruple Helix and Quintuple Helix and how do knowledge, innovation and the environment relate to each other? A proposed framework for a trans-disciplinary analysis of sustainable development and social ecology. Journal of the Knowledge Economy, v. 3, n. 1, p. 1-34, 2012. DOI: 10.1007/s13132-011-0077-3.</w:t>
      </w:r>
    </w:p>
    <w:p>
      <w:pPr>
        <w:pStyle w:val="Normal"/>
        <w:spacing w:lineRule="auto" w:line="240"/>
        <w:ind w:start="360"/>
        <w:jc w:val="both"/>
        <w:rPr>
          <w:rFonts w:eastAsia="Times New Roman" w:cs="Calibri" w:cstheme="minorHAnsi"/>
          <w:sz w:val="24"/>
          <w:szCs w:val="24"/>
          <w:lang w:val="es-EC" w:eastAsia="es-EC"/>
        </w:rPr>
      </w:pPr>
      <w:r>
        <w:rPr>
          <w:rFonts w:eastAsia="Times New Roman" w:cs="Calibri" w:cstheme="minorHAnsi"/>
          <w:sz w:val="24"/>
          <w:szCs w:val="24"/>
          <w:lang w:val="es-EC" w:eastAsia="es-EC"/>
        </w:rPr>
        <w:t>DE BOSSCHER, V. et al. The global competition for high performance sport success. [S.l.]: Meyer &amp; Meyer Sport, 2008.</w:t>
      </w:r>
    </w:p>
    <w:p>
      <w:pPr>
        <w:pStyle w:val="Normal"/>
        <w:spacing w:lineRule="auto" w:line="240"/>
        <w:ind w:start="360"/>
        <w:jc w:val="both"/>
        <w:rPr>
          <w:rFonts w:eastAsia="Times New Roman" w:cs="Calibri" w:cstheme="minorHAnsi"/>
          <w:sz w:val="24"/>
          <w:szCs w:val="24"/>
          <w:lang w:val="es-EC" w:eastAsia="es-EC"/>
        </w:rPr>
      </w:pPr>
      <w:r>
        <w:rPr>
          <w:rFonts w:eastAsia="Times New Roman" w:cs="Calibri" w:cstheme="minorHAnsi"/>
          <w:sz w:val="24"/>
          <w:szCs w:val="24"/>
          <w:lang w:val="es-EC" w:eastAsia="es-EC"/>
        </w:rPr>
        <w:t>ETZKOWITZ, H.; LEYDESDORFF, L. The dynamics of innovation: from National Systems and “Mode 2” to a Triple Helix of university–industry–government relations. Research Policy, v. 29, n. 2, p. 109-123, 2000. DOI: 10.1016/S0048-7333(99)00055-4.</w:t>
      </w:r>
    </w:p>
    <w:p>
      <w:pPr>
        <w:pStyle w:val="Normal"/>
        <w:spacing w:lineRule="auto" w:line="240"/>
        <w:ind w:start="360"/>
        <w:jc w:val="both"/>
        <w:rPr>
          <w:rFonts w:eastAsia="Times New Roman" w:cs="Calibri" w:cstheme="minorHAnsi"/>
          <w:sz w:val="24"/>
          <w:szCs w:val="24"/>
          <w:lang w:val="es-EC" w:eastAsia="es-EC"/>
        </w:rPr>
      </w:pPr>
      <w:r>
        <w:rPr>
          <w:rFonts w:eastAsia="Times New Roman" w:cs="Calibri" w:cstheme="minorHAnsi"/>
          <w:sz w:val="24"/>
          <w:szCs w:val="24"/>
          <w:lang w:val="es-EC" w:eastAsia="es-EC"/>
        </w:rPr>
        <w:t>ETZKOWITZ, H. The Triple Helix: University-industry-government innovation in action. [S.l.]: Routledge, 2008. DOI: 10.4324/9780203929605.</w:t>
      </w:r>
    </w:p>
    <w:p>
      <w:pPr>
        <w:pStyle w:val="Normal"/>
        <w:spacing w:lineRule="auto" w:line="240"/>
        <w:ind w:start="360"/>
        <w:jc w:val="both"/>
        <w:rPr>
          <w:rFonts w:eastAsia="Times New Roman" w:cs="Calibri" w:cstheme="minorHAnsi"/>
          <w:sz w:val="24"/>
          <w:szCs w:val="24"/>
          <w:lang w:val="es-EC" w:eastAsia="es-EC"/>
        </w:rPr>
      </w:pPr>
      <w:r>
        <w:rPr>
          <w:rFonts w:eastAsia="Times New Roman" w:cs="Calibri" w:cstheme="minorHAnsi"/>
          <w:sz w:val="24"/>
          <w:szCs w:val="24"/>
          <w:lang w:val="es-EC" w:eastAsia="es-EC"/>
        </w:rPr>
        <w:t>FARIA, M. J.; UBATUBA, B. The impact on the Brazilian economy of the Olympic Games in Rio de Janeiro in 2016. International Journal of Professional Business Review, v. 8, n. 11, p. e03886, 2023. DOI: 10.26668/businessreview/2023.v8i11.3886.</w:t>
      </w:r>
    </w:p>
    <w:p>
      <w:pPr>
        <w:pStyle w:val="Normal"/>
        <w:spacing w:lineRule="auto" w:line="240"/>
        <w:ind w:start="360"/>
        <w:jc w:val="both"/>
        <w:rPr>
          <w:rFonts w:eastAsia="Times New Roman" w:cs="Calibri" w:cstheme="minorHAnsi"/>
          <w:sz w:val="24"/>
          <w:szCs w:val="24"/>
          <w:lang w:val="es-EC" w:eastAsia="es-EC"/>
        </w:rPr>
      </w:pPr>
      <w:r>
        <w:rPr>
          <w:rFonts w:eastAsia="Times New Roman" w:cs="Calibri" w:cstheme="minorHAnsi"/>
          <w:sz w:val="24"/>
          <w:szCs w:val="24"/>
          <w:lang w:val="es-EC" w:eastAsia="es-EC"/>
        </w:rPr>
        <w:t>FERREIRA, C. M.; SERPA, S. Society 5.0 and social development: Challenges and opportunities. Management and Organizational Studies, v. 5, n. 4, p. 26-31, 2018. DOI: 10.11114/mos.v5i4.3650.</w:t>
      </w:r>
    </w:p>
    <w:p>
      <w:pPr>
        <w:pStyle w:val="Normal"/>
        <w:spacing w:lineRule="auto" w:line="240"/>
        <w:ind w:start="360"/>
        <w:jc w:val="both"/>
        <w:rPr>
          <w:rFonts w:eastAsia="Times New Roman" w:cs="Calibri" w:cstheme="minorHAnsi"/>
          <w:sz w:val="24"/>
          <w:szCs w:val="24"/>
          <w:lang w:val="es-EC" w:eastAsia="es-EC"/>
        </w:rPr>
      </w:pPr>
      <w:r>
        <w:rPr>
          <w:rFonts w:eastAsia="Times New Roman" w:cs="Calibri" w:cstheme="minorHAnsi"/>
          <w:sz w:val="24"/>
          <w:szCs w:val="24"/>
          <w:lang w:val="es-EC" w:eastAsia="es-EC"/>
        </w:rPr>
        <w:t>GARFINKEL, H. Studies in ethnomethodology. [S.l.]: Prentice-Hall, 1967.</w:t>
      </w:r>
    </w:p>
    <w:p>
      <w:pPr>
        <w:pStyle w:val="Normal"/>
        <w:spacing w:lineRule="auto" w:line="240"/>
        <w:ind w:start="360"/>
        <w:jc w:val="both"/>
        <w:rPr>
          <w:rFonts w:eastAsia="Times New Roman" w:cs="Calibri" w:cstheme="minorHAnsi"/>
          <w:sz w:val="24"/>
          <w:szCs w:val="24"/>
          <w:lang w:val="es-EC" w:eastAsia="es-EC"/>
        </w:rPr>
      </w:pPr>
      <w:r>
        <w:rPr>
          <w:rFonts w:eastAsia="Times New Roman" w:cs="Calibri" w:cstheme="minorHAnsi"/>
          <w:sz w:val="24"/>
          <w:szCs w:val="24"/>
          <w:lang w:val="es-EC" w:eastAsia="es-EC"/>
        </w:rPr>
        <w:t>GIRGINOV, V. Culture and the study of sport management. Sport Management Review, v. 13, n. 4, p. 396-417, 2010. DOI: 10.1016/j.smr.2010.05.001.</w:t>
      </w:r>
    </w:p>
    <w:p>
      <w:pPr>
        <w:pStyle w:val="Normal"/>
        <w:spacing w:lineRule="auto" w:line="240"/>
        <w:ind w:start="360"/>
        <w:jc w:val="both"/>
        <w:rPr>
          <w:rFonts w:eastAsia="Times New Roman" w:cs="Calibri" w:cstheme="minorHAnsi"/>
          <w:sz w:val="24"/>
          <w:szCs w:val="24"/>
          <w:lang w:val="es-EC" w:eastAsia="es-EC"/>
        </w:rPr>
      </w:pPr>
      <w:r>
        <w:rPr>
          <w:rFonts w:eastAsia="Times New Roman" w:cs="Calibri" w:cstheme="minorHAnsi"/>
          <w:sz w:val="24"/>
          <w:szCs w:val="24"/>
          <w:lang w:val="es-EC" w:eastAsia="es-EC"/>
        </w:rPr>
        <w:t>GÓMEZ, S. Cultura gerencial en las organizaciones del deporte en Venezuela. [S.l.]: Editorial Universitaria, 2024. ISBN 978-9942-7046-2-7.</w:t>
      </w:r>
    </w:p>
    <w:p>
      <w:pPr>
        <w:pStyle w:val="Normal"/>
        <w:spacing w:lineRule="auto" w:line="240"/>
        <w:ind w:start="360"/>
        <w:jc w:val="both"/>
        <w:rPr>
          <w:rFonts w:eastAsia="Times New Roman" w:cs="Calibri" w:cstheme="minorHAnsi"/>
          <w:sz w:val="24"/>
          <w:szCs w:val="24"/>
          <w:lang w:val="es-EC" w:eastAsia="es-EC"/>
        </w:rPr>
      </w:pPr>
      <w:r>
        <w:rPr>
          <w:rFonts w:eastAsia="Times New Roman" w:cs="Calibri" w:cstheme="minorHAnsi"/>
          <w:sz w:val="24"/>
          <w:szCs w:val="24"/>
          <w:lang w:val="es-EC" w:eastAsia="es-EC"/>
        </w:rPr>
        <w:t>KANT, I. Fundamentación de la metafísica de las costumbres. Tradução: M. García Morente. [S.l.]: Espasa-Calpe, 1785.</w:t>
      </w:r>
    </w:p>
    <w:p>
      <w:pPr>
        <w:pStyle w:val="Normal"/>
        <w:spacing w:lineRule="auto" w:line="240"/>
        <w:ind w:start="360"/>
        <w:jc w:val="both"/>
        <w:rPr>
          <w:rFonts w:eastAsia="Times New Roman" w:cs="Calibri" w:cstheme="minorHAnsi"/>
          <w:sz w:val="24"/>
          <w:szCs w:val="24"/>
          <w:lang w:val="es-EC" w:eastAsia="es-EC"/>
        </w:rPr>
      </w:pPr>
      <w:r>
        <w:rPr>
          <w:rFonts w:eastAsia="Times New Roman" w:cs="Calibri" w:cstheme="minorHAnsi"/>
          <w:sz w:val="24"/>
          <w:szCs w:val="24"/>
          <w:lang w:val="es-EC" w:eastAsia="es-EC"/>
        </w:rPr>
        <w:t>MAZZEI, L. C. et al. High performance sport in Brazil. Gestión y Política Pública, v. Temático 2015, p. 83-111, 2015.</w:t>
      </w:r>
    </w:p>
    <w:p>
      <w:pPr>
        <w:pStyle w:val="Normal"/>
        <w:spacing w:lineRule="auto" w:line="240"/>
        <w:ind w:start="360"/>
        <w:jc w:val="both"/>
        <w:rPr>
          <w:rFonts w:eastAsia="Times New Roman" w:cs="Calibri" w:cstheme="minorHAnsi"/>
          <w:sz w:val="24"/>
          <w:szCs w:val="24"/>
          <w:lang w:val="es-EC" w:eastAsia="es-EC"/>
        </w:rPr>
      </w:pPr>
      <w:r>
        <w:rPr>
          <w:rFonts w:eastAsia="Times New Roman" w:cs="Calibri" w:cstheme="minorHAnsi"/>
          <w:sz w:val="24"/>
          <w:szCs w:val="24"/>
          <w:lang w:val="es-EC" w:eastAsia="es-EC"/>
        </w:rPr>
        <w:t>O'BOYLE, I. Sport governance. In: BRADBURY, T.; O'BOYLE, I. (Ed.). Understanding sport management: International perspectives. [S.l.]: Routledge, 2017. p. 145-158.</w:t>
      </w:r>
    </w:p>
    <w:p>
      <w:pPr>
        <w:pStyle w:val="Normal"/>
        <w:spacing w:lineRule="auto" w:line="240"/>
        <w:ind w:start="360"/>
        <w:jc w:val="both"/>
        <w:rPr>
          <w:rFonts w:eastAsia="Times New Roman" w:cs="Calibri" w:cstheme="minorHAnsi"/>
          <w:sz w:val="24"/>
          <w:szCs w:val="24"/>
          <w:lang w:val="es-EC" w:eastAsia="es-EC"/>
        </w:rPr>
      </w:pPr>
      <w:r>
        <w:rPr>
          <w:rFonts w:eastAsia="Times New Roman" w:cs="Calibri" w:cstheme="minorHAnsi"/>
          <w:sz w:val="24"/>
          <w:szCs w:val="24"/>
          <w:lang w:val="es-EC" w:eastAsia="es-EC"/>
        </w:rPr>
        <w:t>ONDAY, O. Japan's Society 5.0: A new generation innovation model. Journal of Management and Organization, v. 25, n. 3, p. 415-432, 2019.</w:t>
      </w:r>
    </w:p>
    <w:p>
      <w:pPr>
        <w:pStyle w:val="Normal"/>
        <w:spacing w:lineRule="auto" w:line="240"/>
        <w:ind w:start="360"/>
        <w:jc w:val="both"/>
        <w:rPr>
          <w:rFonts w:eastAsia="Times New Roman" w:cs="Calibri" w:cstheme="minorHAnsi"/>
          <w:sz w:val="24"/>
          <w:szCs w:val="24"/>
          <w:lang w:val="es-EC" w:eastAsia="es-EC"/>
        </w:rPr>
      </w:pPr>
      <w:r>
        <w:rPr>
          <w:rFonts w:eastAsia="Times New Roman" w:cs="Calibri" w:cstheme="minorHAnsi"/>
          <w:sz w:val="24"/>
          <w:szCs w:val="24"/>
          <w:lang w:val="es-EC" w:eastAsia="es-EC"/>
        </w:rPr>
        <w:t>PAGANI, M. M. et al. Viva o esporte: Uma análise da política pública de esportes de um município do interior do estado do Rio de Janeiro. Revista Grifos, v. 29, n. 48, p. 92-106, 2020.</w:t>
      </w:r>
    </w:p>
    <w:p>
      <w:pPr>
        <w:pStyle w:val="Normal"/>
        <w:spacing w:lineRule="auto" w:line="240"/>
        <w:ind w:start="360"/>
        <w:jc w:val="both"/>
        <w:rPr>
          <w:rFonts w:eastAsia="Times New Roman" w:cs="Calibri" w:cstheme="minorHAnsi"/>
          <w:sz w:val="24"/>
          <w:szCs w:val="24"/>
          <w:lang w:val="es-EC" w:eastAsia="es-EC"/>
        </w:rPr>
      </w:pPr>
      <w:r>
        <w:rPr>
          <w:rFonts w:eastAsia="Times New Roman" w:cs="Calibri" w:cstheme="minorHAnsi"/>
          <w:sz w:val="24"/>
          <w:szCs w:val="24"/>
          <w:lang w:val="es-EC" w:eastAsia="es-EC"/>
        </w:rPr>
        <w:t>ROCCO JÚNIOR, A. J. Gestão do esporte no Brasil e no mundo: evolução histórica, organizações e perspectivas. Revista de Gestão e Negócios do Esporte, v. 7, n. 1, p. 12-32, 2019.</w:t>
      </w:r>
    </w:p>
    <w:p>
      <w:pPr>
        <w:pStyle w:val="Normal"/>
        <w:spacing w:lineRule="auto" w:line="240"/>
        <w:ind w:start="360"/>
        <w:jc w:val="both"/>
        <w:rPr>
          <w:rFonts w:eastAsia="Times New Roman" w:cs="Calibri" w:cstheme="minorHAnsi"/>
          <w:sz w:val="24"/>
          <w:szCs w:val="24"/>
          <w:lang w:val="es-EC" w:eastAsia="es-EC"/>
        </w:rPr>
      </w:pPr>
      <w:r>
        <w:rPr>
          <w:rFonts w:eastAsia="Times New Roman" w:cs="Calibri" w:cstheme="minorHAnsi"/>
          <w:sz w:val="24"/>
          <w:szCs w:val="24"/>
          <w:lang w:val="es-EC" w:eastAsia="es-EC"/>
        </w:rPr>
        <w:t>SÁBATO, J.; BOTANA, N. La ciencia y la tecnología en el desarrollo futuro de América Latina. In: El pensamiento latinoamericano en la problemática de la ciencia, la tecnología, el desarrollo y la dependencia. [S.l.]: Paidós, 1975. p. 121-140.</w:t>
      </w:r>
    </w:p>
    <w:p>
      <w:pPr>
        <w:pStyle w:val="Normal"/>
        <w:spacing w:lineRule="auto" w:line="240"/>
        <w:ind w:start="360"/>
        <w:jc w:val="both"/>
        <w:rPr>
          <w:rFonts w:eastAsia="Times New Roman" w:cs="Calibri" w:cstheme="minorHAnsi"/>
          <w:sz w:val="24"/>
          <w:szCs w:val="24"/>
          <w:lang w:val="es-EC" w:eastAsia="es-EC"/>
        </w:rPr>
      </w:pPr>
      <w:r>
        <w:rPr>
          <w:rFonts w:eastAsia="Times New Roman" w:cs="Calibri" w:cstheme="minorHAnsi"/>
          <w:sz w:val="24"/>
          <w:szCs w:val="24"/>
          <w:lang w:val="es-EC" w:eastAsia="es-EC"/>
        </w:rPr>
        <w:t>SILVA, C. A. F.; TERRA, B.; VOTRE, S. J. O modelo da hélice tríplice e o papel da educação física, esporte e lazer no desenvolvimento local. Revista Brasileira de Ciências do Esporte, v. 28, n. 1, p. 167-183, 2006.</w:t>
      </w:r>
    </w:p>
    <w:p>
      <w:pPr>
        <w:pStyle w:val="Normal"/>
        <w:spacing w:lineRule="auto" w:line="240"/>
        <w:ind w:start="360"/>
        <w:jc w:val="both"/>
        <w:rPr>
          <w:rFonts w:eastAsia="Times New Roman" w:cs="Calibri" w:cstheme="minorHAnsi"/>
          <w:sz w:val="24"/>
          <w:szCs w:val="24"/>
          <w:lang w:val="es-EC" w:eastAsia="es-EC"/>
        </w:rPr>
      </w:pPr>
      <w:r>
        <w:rPr>
          <w:rFonts w:eastAsia="Times New Roman" w:cs="Calibri" w:cstheme="minorHAnsi"/>
          <w:sz w:val="24"/>
          <w:szCs w:val="24"/>
          <w:lang w:val="es-EC" w:eastAsia="es-EC"/>
        </w:rPr>
        <w:t>SILVA, C. A. F.; VOTRE, S. J. Etnometodologias. [S.l.]: Editora Muiraquitã, 2006.</w:t>
      </w:r>
    </w:p>
    <w:p>
      <w:pPr>
        <w:pStyle w:val="Normal"/>
        <w:spacing w:lineRule="auto" w:line="240"/>
        <w:ind w:start="360"/>
        <w:jc w:val="both"/>
        <w:rPr>
          <w:rFonts w:eastAsia="Times New Roman" w:cs="Calibri" w:cstheme="minorHAnsi"/>
          <w:sz w:val="24"/>
          <w:szCs w:val="24"/>
          <w:lang w:val="es-EC" w:eastAsia="es-EC"/>
        </w:rPr>
      </w:pPr>
      <w:r>
        <w:rPr>
          <w:rFonts w:eastAsia="Times New Roman" w:cs="Calibri" w:cstheme="minorHAnsi"/>
          <w:sz w:val="24"/>
          <w:szCs w:val="24"/>
          <w:lang w:val="es-EC" w:eastAsia="es-EC"/>
        </w:rPr>
        <w:t>SILVA, C. A. F.; LOPES, J. P. S. R.; NETTO, J. A. Educação física, desenvolvimento e inovação: o argumento da hélice tríplice. Motriz: Revista de Educação Física, v. 16, n. 4, p. 995-1005, 2010. DOI: 10.5016/1980-6574.2010v16n4p995.</w:t>
      </w:r>
    </w:p>
    <w:p>
      <w:pPr>
        <w:pStyle w:val="Normal"/>
        <w:spacing w:lineRule="auto" w:line="240"/>
        <w:ind w:start="360"/>
        <w:jc w:val="both"/>
        <w:rPr>
          <w:rFonts w:eastAsia="Times New Roman" w:cs="Calibri" w:cstheme="minorHAnsi"/>
          <w:sz w:val="24"/>
          <w:szCs w:val="24"/>
          <w:lang w:val="es-EC" w:eastAsia="es-EC"/>
        </w:rPr>
      </w:pPr>
      <w:r>
        <w:rPr>
          <w:rFonts w:eastAsia="Times New Roman" w:cs="Calibri" w:cstheme="minorHAnsi"/>
          <w:sz w:val="24"/>
          <w:szCs w:val="24"/>
          <w:lang w:val="es-EC" w:eastAsia="es-EC"/>
        </w:rPr>
        <w:t>SILVA, C. A. F. Gestão do esporte e hélice tríplice. [S.l.]: HP Comunicação, 2011.</w:t>
      </w:r>
    </w:p>
    <w:p>
      <w:pPr>
        <w:pStyle w:val="Normal"/>
        <w:spacing w:lineRule="auto" w:line="240"/>
        <w:ind w:start="360"/>
        <w:jc w:val="both"/>
        <w:rPr>
          <w:rFonts w:eastAsia="Times New Roman" w:cs="Calibri" w:cstheme="minorHAnsi"/>
          <w:sz w:val="24"/>
          <w:szCs w:val="24"/>
          <w:lang w:val="es-EC" w:eastAsia="es-EC"/>
        </w:rPr>
      </w:pPr>
      <w:r>
        <w:rPr>
          <w:rFonts w:eastAsia="Times New Roman" w:cs="Calibri" w:cstheme="minorHAnsi"/>
          <w:sz w:val="24"/>
          <w:szCs w:val="24"/>
          <w:lang w:val="es-EC" w:eastAsia="es-EC"/>
        </w:rPr>
        <w:t>SILVA, C. A. F. Implicações da Lei Geral do Esporte na Perspectiva da Hélice Quíntupla. Revista Intercontinental de Gestão Desportiva, v. 14, n. 3, p. e110096, 2024.</w:t>
      </w:r>
    </w:p>
    <w:p>
      <w:pPr>
        <w:pStyle w:val="Normal"/>
        <w:spacing w:lineRule="auto" w:line="240"/>
        <w:ind w:start="360"/>
        <w:jc w:val="both"/>
        <w:rPr>
          <w:rFonts w:eastAsia="Times New Roman" w:cs="Calibri" w:cstheme="minorHAnsi"/>
          <w:sz w:val="24"/>
          <w:szCs w:val="24"/>
          <w:lang w:val="es-EC" w:eastAsia="es-EC"/>
        </w:rPr>
      </w:pPr>
      <w:r>
        <w:rPr>
          <w:rFonts w:eastAsia="Times New Roman" w:cs="Calibri" w:cstheme="minorHAnsi"/>
          <w:sz w:val="24"/>
          <w:szCs w:val="24"/>
          <w:lang w:val="es-EC" w:eastAsia="es-EC"/>
        </w:rPr>
        <w:t>SILVA, C. A. F. O modelo da hélice quíntupla nas ciências da atividade física. Revista Intercontinental de Gestão Desportiva, v. 15, n. 2, p. e110031, 2025.</w:t>
      </w:r>
    </w:p>
    <w:p>
      <w:pPr>
        <w:pStyle w:val="Normal"/>
        <w:spacing w:lineRule="auto" w:line="240"/>
        <w:ind w:start="360"/>
        <w:jc w:val="both"/>
        <w:rPr>
          <w:rFonts w:eastAsia="Times New Roman" w:cs="Calibri" w:cstheme="minorHAnsi"/>
          <w:sz w:val="24"/>
          <w:szCs w:val="24"/>
          <w:lang w:val="es-EC" w:eastAsia="es-EC"/>
        </w:rPr>
      </w:pPr>
      <w:r>
        <w:rPr>
          <w:rFonts w:eastAsia="Times New Roman" w:cs="Calibri" w:cstheme="minorHAnsi"/>
          <w:sz w:val="24"/>
          <w:szCs w:val="24"/>
          <w:lang w:val="es-EC" w:eastAsia="es-EC"/>
        </w:rPr>
        <w:t>SOUZA, J. V. M.; BAVARESCO, G.; MEZZADRI, F. M. Panorama da gestão do esporte brasileiro a nível municipal: Dados da pesquisa GEEM. Coleção Especial do Concurso de Artigos Científicos da Comissão do Esporte, p. 132-154, 2023.</w:t>
      </w:r>
    </w:p>
    <w:p>
      <w:pPr>
        <w:pStyle w:val="Normal"/>
        <w:spacing w:lineRule="auto" w:line="240"/>
        <w:ind w:start="360"/>
        <w:jc w:val="both"/>
        <w:rPr>
          <w:rFonts w:eastAsia="Times New Roman" w:cs="Calibri" w:cstheme="minorHAnsi"/>
          <w:sz w:val="24"/>
          <w:szCs w:val="24"/>
          <w:lang w:val="es-EC" w:eastAsia="es-EC"/>
        </w:rPr>
      </w:pPr>
      <w:r>
        <w:rPr>
          <w:rFonts w:eastAsia="Times New Roman" w:cs="Calibri" w:cstheme="minorHAnsi"/>
          <w:sz w:val="24"/>
          <w:szCs w:val="24"/>
          <w:lang w:val="es-EC" w:eastAsia="es-EC"/>
        </w:rPr>
        <w:t>TERRA, B. et al. Por uma universidade empreendedora: o papel da pós-graduação no modelo da hélice tríplice. Lecturas: Educación Física y Deportes, v. 12, n. 113, p. 1-12, 2007.</w:t>
      </w:r>
    </w:p>
    <w:p>
      <w:pPr>
        <w:pStyle w:val="Normal"/>
        <w:spacing w:lineRule="auto" w:line="240"/>
        <w:ind w:start="360"/>
        <w:jc w:val="both"/>
        <w:rPr>
          <w:rFonts w:eastAsia="Times New Roman" w:cs="Calibri" w:cstheme="minorHAnsi"/>
          <w:sz w:val="24"/>
          <w:szCs w:val="24"/>
          <w:lang w:val="es-EC" w:eastAsia="es-EC"/>
        </w:rPr>
      </w:pPr>
      <w:r>
        <w:rPr>
          <w:rFonts w:eastAsia="Times New Roman" w:cs="Calibri" w:cstheme="minorHAnsi"/>
          <w:sz w:val="24"/>
          <w:szCs w:val="24"/>
          <w:lang w:val="es-EC" w:eastAsia="es-EC"/>
        </w:rPr>
        <w:t>TRENDAFILOVA, S.; MCCULLOUGH, B. P. Environmental sustainability scholarship and the efforts of the sport sector: A rapid review of literature. Cogent Social Sciences, v. 4, n. 1, p. 1467256, 2018. DOI: 10.1080/23311886.2018.1467256.</w:t>
      </w:r>
    </w:p>
    <w:p>
      <w:pPr>
        <w:pStyle w:val="Normal"/>
        <w:spacing w:lineRule="auto" w:line="240"/>
        <w:ind w:start="360"/>
        <w:jc w:val="both"/>
        <w:rPr>
          <w:rFonts w:eastAsia="Times New Roman" w:cs="Calibri" w:cstheme="minorHAnsi"/>
          <w:sz w:val="24"/>
          <w:szCs w:val="24"/>
          <w:lang w:val="es-EC" w:eastAsia="es-EC"/>
        </w:rPr>
      </w:pPr>
      <w:r>
        <w:rPr>
          <w:rFonts w:eastAsia="Times New Roman" w:cs="Calibri" w:cstheme="minorHAnsi"/>
          <w:sz w:val="24"/>
          <w:szCs w:val="24"/>
          <w:lang w:val="es-EC" w:eastAsia="es-EC"/>
        </w:rPr>
        <w:t>VON BERTALANFFY, L. Teoría general de los sistemas: fundamentos, desarrollo, aplicaciones. [S.l.]: Fondo de Cultura Económica, 1976.</w:t>
      </w:r>
    </w:p>
    <w:p>
      <w:pPr>
        <w:pStyle w:val="Normal"/>
        <w:spacing w:lineRule="auto" w:line="240" w:before="0" w:after="160"/>
        <w:ind w:start="360"/>
        <w:jc w:val="both"/>
        <w:rPr>
          <w:rFonts w:eastAsia="Times New Roman" w:cs="Calibri" w:cstheme="minorHAnsi"/>
          <w:sz w:val="24"/>
          <w:szCs w:val="24"/>
          <w:lang w:val="es-EC" w:eastAsia="es-EC"/>
        </w:rPr>
      </w:pPr>
      <w:r>
        <w:rPr>
          <w:rFonts w:eastAsia="Times New Roman" w:cs="Calibri" w:cstheme="minorHAnsi"/>
          <w:sz w:val="24"/>
          <w:szCs w:val="24"/>
          <w:lang w:val="es-EC" w:eastAsia="es-EC"/>
        </w:rPr>
        <w:t>VYGOTSKY, L. S. Mind in society: The development of higher psychological processes. [S.l.]: Harvard University Press, 1978.</w:t>
      </w:r>
    </w:p>
    <w:sectPr>
      <w:type w:val="nextPage"/>
      <w:pgSz w:w="11906" w:h="16838"/>
      <w:pgMar w:left="1701" w:right="1701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Courier New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s-EC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s-EC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s-VE" w:eastAsia="en-US" w:bidi="ar-SA"/>
    </w:rPr>
  </w:style>
  <w:style w:type="paragraph" w:styleId="Heading2">
    <w:name w:val="heading 2"/>
    <w:basedOn w:val="Normal"/>
    <w:link w:val="Ttulo2Car"/>
    <w:uiPriority w:val="9"/>
    <w:qFormat/>
    <w:rsid w:val="00c26109"/>
    <w:pPr>
      <w:spacing w:lineRule="auto" w:line="240" w:beforeAutospacing="1" w:afterAutospacing="1"/>
      <w:outlineLvl w:val="1"/>
    </w:pPr>
    <w:rPr>
      <w:rFonts w:ascii="Times New Roman" w:hAnsi="Times New Roman" w:eastAsia="Times New Roman" w:cs="Times New Roman"/>
      <w:b/>
      <w:bCs/>
      <w:sz w:val="36"/>
      <w:szCs w:val="36"/>
      <w:lang w:val="es-EC" w:eastAsia="es-EC"/>
    </w:rPr>
  </w:style>
  <w:style w:type="paragraph" w:styleId="Heading3">
    <w:name w:val="heading 3"/>
    <w:basedOn w:val="Normal"/>
    <w:link w:val="Ttulo3Car"/>
    <w:uiPriority w:val="9"/>
    <w:qFormat/>
    <w:rsid w:val="00c26109"/>
    <w:pPr>
      <w:spacing w:lineRule="auto" w:line="240" w:beforeAutospacing="1" w:afterAutospacing="1"/>
      <w:outlineLvl w:val="2"/>
    </w:pPr>
    <w:rPr>
      <w:rFonts w:ascii="Times New Roman" w:hAnsi="Times New Roman" w:eastAsia="Times New Roman" w:cs="Times New Roman"/>
      <w:b/>
      <w:bCs/>
      <w:sz w:val="27"/>
      <w:szCs w:val="27"/>
      <w:lang w:val="es-EC" w:eastAsia="es-EC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tulo2Car" w:customStyle="1">
    <w:name w:val="Título 2 Car"/>
    <w:basedOn w:val="DefaultParagraphFont"/>
    <w:uiPriority w:val="9"/>
    <w:qFormat/>
    <w:rsid w:val="00c26109"/>
    <w:rPr>
      <w:rFonts w:ascii="Times New Roman" w:hAnsi="Times New Roman" w:eastAsia="Times New Roman" w:cs="Times New Roman"/>
      <w:b/>
      <w:bCs/>
      <w:sz w:val="36"/>
      <w:szCs w:val="36"/>
      <w:lang w:eastAsia="es-EC"/>
    </w:rPr>
  </w:style>
  <w:style w:type="character" w:styleId="Ttulo3Car" w:customStyle="1">
    <w:name w:val="Título 3 Car"/>
    <w:basedOn w:val="DefaultParagraphFont"/>
    <w:uiPriority w:val="9"/>
    <w:qFormat/>
    <w:rsid w:val="00c26109"/>
    <w:rPr>
      <w:rFonts w:ascii="Times New Roman" w:hAnsi="Times New Roman" w:eastAsia="Times New Roman" w:cs="Times New Roman"/>
      <w:b/>
      <w:bCs/>
      <w:sz w:val="27"/>
      <w:szCs w:val="27"/>
      <w:lang w:eastAsia="es-EC"/>
    </w:rPr>
  </w:style>
  <w:style w:type="character" w:styleId="HTMLconformatoprevioCar" w:customStyle="1">
    <w:name w:val="HTML con formato previo Car"/>
    <w:basedOn w:val="DefaultParagraphFont"/>
    <w:link w:val="HTMLPreformatted"/>
    <w:uiPriority w:val="99"/>
    <w:semiHidden/>
    <w:qFormat/>
    <w:rsid w:val="00c26109"/>
    <w:rPr>
      <w:rFonts w:ascii="Courier New" w:hAnsi="Courier New" w:eastAsia="Times New Roman" w:cs="Courier New"/>
      <w:sz w:val="20"/>
      <w:szCs w:val="20"/>
      <w:lang w:eastAsia="es-EC"/>
    </w:rPr>
  </w:style>
  <w:style w:type="character" w:styleId="HTMLCode">
    <w:name w:val="HTML Code"/>
    <w:basedOn w:val="DefaultParagraphFont"/>
    <w:uiPriority w:val="99"/>
    <w:semiHidden/>
    <w:unhideWhenUsed/>
    <w:qFormat/>
    <w:rsid w:val="00c26109"/>
    <w:rPr>
      <w:rFonts w:ascii="Courier New" w:hAnsi="Courier New" w:eastAsia="Times New Roman" w:cs="Courier New"/>
      <w:sz w:val="20"/>
      <w:szCs w:val="20"/>
    </w:rPr>
  </w:style>
  <w:style w:type="character" w:styleId="citation-533" w:customStyle="1">
    <w:name w:val="citation-533"/>
    <w:basedOn w:val="DefaultParagraphFont"/>
    <w:qFormat/>
    <w:rsid w:val="00c26109"/>
    <w:rPr/>
  </w:style>
  <w:style w:type="character" w:styleId="citation-532" w:customStyle="1">
    <w:name w:val="citation-532"/>
    <w:basedOn w:val="DefaultParagraphFont"/>
    <w:qFormat/>
    <w:rsid w:val="00c26109"/>
    <w:rPr/>
  </w:style>
  <w:style w:type="character" w:styleId="citation-531" w:customStyle="1">
    <w:name w:val="citation-531"/>
    <w:basedOn w:val="DefaultParagraphFont"/>
    <w:qFormat/>
    <w:rsid w:val="00c26109"/>
    <w:rPr/>
  </w:style>
  <w:style w:type="character" w:styleId="citation-530" w:customStyle="1">
    <w:name w:val="citation-530"/>
    <w:basedOn w:val="DefaultParagraphFont"/>
    <w:qFormat/>
    <w:rsid w:val="00c26109"/>
    <w:rPr/>
  </w:style>
  <w:style w:type="character" w:styleId="TextoindependienteCar" w:customStyle="1">
    <w:name w:val="Texto independiente Car"/>
    <w:basedOn w:val="DefaultParagraphFont"/>
    <w:qFormat/>
    <w:rsid w:val="004e6738"/>
    <w:rPr>
      <w:rFonts w:ascii="Times New Roman" w:hAnsi="Times New Roman" w:eastAsia="Times New Roman" w:cs="Times New Roman"/>
      <w:sz w:val="20"/>
      <w:szCs w:val="20"/>
      <w:lang w:val="x-none" w:eastAsia="zh-CN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TextoindependienteCar"/>
    <w:rsid w:val="004e6738"/>
    <w:pPr>
      <w:widowControl w:val="false"/>
      <w:suppressAutoHyphens w:val="true"/>
      <w:spacing w:lineRule="auto" w:line="240" w:before="0" w:after="120"/>
    </w:pPr>
    <w:rPr>
      <w:rFonts w:ascii="Times New Roman" w:hAnsi="Times New Roman" w:eastAsia="Times New Roman" w:cs="Times New Roman"/>
      <w:sz w:val="20"/>
      <w:szCs w:val="20"/>
      <w:lang w:val="x-none" w:eastAsia="zh-CN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uiPriority w:val="99"/>
    <w:semiHidden/>
    <w:unhideWhenUsed/>
    <w:qFormat/>
    <w:rsid w:val="00c26109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val="es-EC" w:eastAsia="es-EC"/>
    </w:rPr>
  </w:style>
  <w:style w:type="paragraph" w:styleId="HTMLPreformatted">
    <w:name w:val="HTML Preformatted"/>
    <w:basedOn w:val="Normal"/>
    <w:link w:val="HTMLconformatoprevioCar"/>
    <w:uiPriority w:val="99"/>
    <w:semiHidden/>
    <w:unhideWhenUsed/>
    <w:qFormat/>
    <w:rsid w:val="00c26109"/>
    <w:pPr>
      <w:tabs>
        <w:tab w:val="clear" w:pos="708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spacing w:lineRule="auto" w:line="240" w:before="0" w:after="0"/>
    </w:pPr>
    <w:rPr>
      <w:rFonts w:ascii="Courier New" w:hAnsi="Courier New" w:eastAsia="Times New Roman" w:cs="Courier New"/>
      <w:sz w:val="20"/>
      <w:szCs w:val="20"/>
      <w:lang w:val="es-EC" w:eastAsia="es-EC"/>
    </w:rPr>
  </w:style>
  <w:style w:type="paragraph" w:styleId="Recuodecorpodetexto31" w:customStyle="1">
    <w:name w:val="Recuo de corpo de texto 31"/>
    <w:basedOn w:val="Normal"/>
    <w:qFormat/>
    <w:rsid w:val="004e6738"/>
    <w:pPr>
      <w:suppressAutoHyphens w:val="true"/>
      <w:spacing w:lineRule="auto" w:line="240" w:before="0" w:after="0"/>
      <w:ind w:firstLine="708"/>
    </w:pPr>
    <w:rPr>
      <w:rFonts w:ascii="Arial" w:hAnsi="Arial" w:eastAsia="Times New Roman" w:cs="Arial"/>
      <w:sz w:val="24"/>
      <w:szCs w:val="20"/>
      <w:lang w:eastAsia="zh-CN"/>
    </w:rPr>
  </w:style>
  <w:style w:type="numbering" w:styleId="Semlista" w:default="1">
    <w:name w:val="Sem lista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aconcuadrcula">
    <w:name w:val="Table Grid"/>
    <w:basedOn w:val="Tablanormal"/>
    <w:uiPriority w:val="39"/>
    <w:rsid w:val="00c2610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e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Application>LibreOffice/26.2.0.3$Windows_X86_64 LibreOffice_project/620$Build-3</Application>
  <AppVersion>15.0000</AppVersion>
  <Pages>6</Pages>
  <Words>2048</Words>
  <Characters>12215</Characters>
  <CharactersWithSpaces>14206</CharactersWithSpaces>
  <Paragraphs>83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2026-05-28T19:25:00Z</dcterms:created>
  <dc:creator>Dr. Summar Alfredo Gómez Barrios - Venezuela</dc:creator>
  <dc:description/>
  <dc:language>pt-BR</dc:language>
  <cp:lastModifiedBy/>
  <dcterms:modified xsi:type="dcterms:W3CDTF">2026-06-23T13:29:35Z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